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E1" w:rsidRPr="000B4A46" w:rsidRDefault="00CA5D06" w:rsidP="00FE2F2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0B4A46">
        <w:rPr>
          <w:rFonts w:ascii="標楷體" w:eastAsia="標楷體" w:hAnsi="標楷體" w:hint="eastAsia"/>
          <w:sz w:val="40"/>
          <w:szCs w:val="40"/>
        </w:rPr>
        <w:t>高雄市議會公聽會邀請書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971"/>
        <w:gridCol w:w="7674"/>
      </w:tblGrid>
      <w:tr w:rsidR="00CA5D06" w:rsidRPr="000B4A46" w:rsidTr="00DB53EB">
        <w:tc>
          <w:tcPr>
            <w:tcW w:w="1971" w:type="dxa"/>
          </w:tcPr>
          <w:p w:rsidR="00CA5D06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B53EB"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7674" w:type="dxa"/>
          </w:tcPr>
          <w:p w:rsidR="00CA5D06" w:rsidRPr="000B4A46" w:rsidRDefault="002B737E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proofErr w:type="gramStart"/>
            <w:r w:rsidR="00BA31B9" w:rsidRPr="000B4A46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="00BA31B9" w:rsidRPr="000B4A46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CF7B4F" w:rsidRPr="000B4A46">
              <w:rPr>
                <w:rFonts w:ascii="標楷體" w:eastAsia="標楷體" w:hAnsi="標楷體" w:hint="eastAsia"/>
                <w:sz w:val="32"/>
                <w:szCs w:val="32"/>
              </w:rPr>
              <w:t>產業紓困暨經濟</w:t>
            </w:r>
            <w:r w:rsidR="00BA31B9" w:rsidRPr="000B4A46">
              <w:rPr>
                <w:rFonts w:ascii="標楷體" w:eastAsia="標楷體" w:hAnsi="標楷體" w:hint="eastAsia"/>
                <w:sz w:val="32"/>
                <w:szCs w:val="32"/>
              </w:rPr>
              <w:t>復甦與振興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公聽會</w:t>
            </w:r>
          </w:p>
        </w:tc>
      </w:tr>
      <w:tr w:rsidR="00CA5D06" w:rsidRPr="000B4A46" w:rsidTr="00DB53EB">
        <w:tc>
          <w:tcPr>
            <w:tcW w:w="1971" w:type="dxa"/>
          </w:tcPr>
          <w:p w:rsidR="00CA5D06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DB53EB"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7674" w:type="dxa"/>
          </w:tcPr>
          <w:p w:rsidR="00CA5D06" w:rsidRPr="000B4A46" w:rsidRDefault="00CA5D06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BA31B9" w:rsidRPr="000B4A4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A31B9" w:rsidRPr="000B4A4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5695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日(星期</w:t>
            </w:r>
            <w:r w:rsidR="00335695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C201D">
              <w:rPr>
                <w:rFonts w:hint="eastAsia"/>
              </w:rPr>
              <w:t xml:space="preserve"> </w:t>
            </w:r>
            <w:r w:rsidR="006C201D" w:rsidRPr="006C201D">
              <w:rPr>
                <w:rFonts w:ascii="標楷體" w:eastAsia="標楷體" w:hAnsi="標楷體" w:hint="eastAsia"/>
                <w:sz w:val="32"/>
                <w:szCs w:val="32"/>
              </w:rPr>
              <w:t>下午2時至4時</w:t>
            </w:r>
          </w:p>
        </w:tc>
      </w:tr>
      <w:tr w:rsidR="00CA5D06" w:rsidRPr="000B4A46" w:rsidTr="00DB53EB">
        <w:tc>
          <w:tcPr>
            <w:tcW w:w="1971" w:type="dxa"/>
          </w:tcPr>
          <w:p w:rsidR="00CA5D06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DB53EB"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7674" w:type="dxa"/>
          </w:tcPr>
          <w:p w:rsidR="00CA5D06" w:rsidRPr="000B4A46" w:rsidRDefault="00CA5D06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FE2F2A" w:rsidRPr="000B4A46">
              <w:rPr>
                <w:rFonts w:ascii="標楷體" w:eastAsia="標楷體" w:hAnsi="標楷體" w:hint="eastAsia"/>
                <w:sz w:val="32"/>
                <w:szCs w:val="32"/>
              </w:rPr>
              <w:t>會1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樓第</w:t>
            </w:r>
            <w:r w:rsidR="00FE2F2A" w:rsidRPr="000B4A4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會議室(</w:t>
            </w:r>
            <w:r w:rsidR="00FE2F2A" w:rsidRPr="000B4A46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鳳山區國泰路二段156號)</w:t>
            </w:r>
          </w:p>
        </w:tc>
      </w:tr>
      <w:tr w:rsidR="00CA5D06" w:rsidRPr="000B4A46" w:rsidTr="00DB53EB">
        <w:tc>
          <w:tcPr>
            <w:tcW w:w="1971" w:type="dxa"/>
          </w:tcPr>
          <w:p w:rsidR="00CA5D06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主持人</w:t>
            </w:r>
          </w:p>
        </w:tc>
        <w:tc>
          <w:tcPr>
            <w:tcW w:w="7674" w:type="dxa"/>
          </w:tcPr>
          <w:p w:rsidR="00CA5D06" w:rsidRPr="000B4A46" w:rsidRDefault="00CA5D06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李雅靜議員</w:t>
            </w:r>
          </w:p>
        </w:tc>
      </w:tr>
      <w:tr w:rsidR="00CA5D06" w:rsidRPr="000B4A46" w:rsidTr="00DB53EB">
        <w:tc>
          <w:tcPr>
            <w:tcW w:w="1971" w:type="dxa"/>
          </w:tcPr>
          <w:p w:rsidR="00DB53EB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出席單位</w:t>
            </w:r>
          </w:p>
          <w:p w:rsidR="00CA5D06" w:rsidRPr="000B4A46" w:rsidRDefault="00DB53EB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受邀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</w:tc>
        <w:tc>
          <w:tcPr>
            <w:tcW w:w="7674" w:type="dxa"/>
          </w:tcPr>
          <w:p w:rsidR="00972CB6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1、</w:t>
            </w:r>
            <w:r w:rsidR="00972CB6" w:rsidRPr="000B4A46">
              <w:rPr>
                <w:rFonts w:ascii="標楷體" w:eastAsia="標楷體" w:hAnsi="標楷體" w:hint="eastAsia"/>
                <w:sz w:val="32"/>
                <w:szCs w:val="32"/>
              </w:rPr>
              <w:t>行政院南部聯合服務中心</w:t>
            </w:r>
          </w:p>
          <w:p w:rsidR="00972CB6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高雄市政府經濟發展局</w:t>
            </w:r>
          </w:p>
          <w:p w:rsidR="00E464B4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高雄市政府觀光局</w:t>
            </w:r>
            <w:r w:rsidR="00A97542" w:rsidRPr="00A97542">
              <w:rPr>
                <w:rFonts w:ascii="標楷體" w:eastAsia="標楷體" w:hAnsi="標楷體" w:hint="eastAsia"/>
                <w:sz w:val="32"/>
                <w:szCs w:val="32"/>
              </w:rPr>
              <w:t>孫專門委員春良</w:t>
            </w:r>
          </w:p>
          <w:p w:rsidR="00F9022D" w:rsidRDefault="00063C6C" w:rsidP="006860B5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高雄市政府衛生局</w:t>
            </w:r>
            <w:r w:rsidR="00F9022D" w:rsidRPr="00F9022D">
              <w:rPr>
                <w:rFonts w:ascii="標楷體" w:eastAsia="標楷體" w:hAnsi="標楷體" w:hint="eastAsia"/>
                <w:sz w:val="32"/>
                <w:szCs w:val="32"/>
              </w:rPr>
              <w:t>何</w:t>
            </w:r>
            <w:r w:rsidR="00F9022D" w:rsidRPr="00161C27">
              <w:rPr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處長</w:t>
            </w:r>
            <w:r w:rsidR="00F9022D" w:rsidRPr="00F9022D">
              <w:rPr>
                <w:rFonts w:ascii="標楷體" w:eastAsia="標楷體" w:hAnsi="標楷體" w:hint="eastAsia"/>
                <w:sz w:val="32"/>
                <w:szCs w:val="32"/>
              </w:rPr>
              <w:t>惠彬</w:t>
            </w:r>
            <w:bookmarkStart w:id="0" w:name="_GoBack"/>
            <w:bookmarkEnd w:id="0"/>
          </w:p>
          <w:p w:rsidR="002B737E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高雄市政府民政局</w:t>
            </w:r>
          </w:p>
          <w:p w:rsidR="002B737E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高雄市政府交通局</w:t>
            </w:r>
          </w:p>
          <w:p w:rsidR="002B737E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高雄市政府財政局</w:t>
            </w:r>
            <w:r w:rsidR="00E75F30" w:rsidRPr="00E75F30">
              <w:rPr>
                <w:rFonts w:ascii="標楷體" w:eastAsia="標楷體" w:hAnsi="標楷體" w:hint="eastAsia"/>
                <w:sz w:val="32"/>
                <w:szCs w:val="32"/>
              </w:rPr>
              <w:t>黃科長淑貞</w:t>
            </w:r>
          </w:p>
          <w:p w:rsidR="0007140A" w:rsidRDefault="00063C6C" w:rsidP="006860B5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高雄市政府勞工局</w:t>
            </w:r>
            <w:r w:rsidR="0007140A" w:rsidRPr="0007140A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07140A" w:rsidRPr="00D73FEB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  <w:r w:rsidR="0007140A" w:rsidRPr="0007140A">
              <w:rPr>
                <w:rFonts w:ascii="標楷體" w:eastAsia="標楷體" w:hAnsi="標楷體" w:hint="eastAsia"/>
                <w:sz w:val="32"/>
                <w:szCs w:val="32"/>
              </w:rPr>
              <w:t>俊源</w:t>
            </w:r>
          </w:p>
          <w:p w:rsidR="00A02E53" w:rsidRPr="000B4A46" w:rsidRDefault="00063C6C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9、</w:t>
            </w:r>
            <w:r w:rsidRPr="00063C6C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73112A" w:rsidRPr="0073112A">
              <w:rPr>
                <w:rFonts w:ascii="標楷體" w:eastAsia="標楷體" w:hAnsi="標楷體" w:hint="eastAsia"/>
                <w:sz w:val="32"/>
                <w:szCs w:val="32"/>
              </w:rPr>
              <w:t>研究發展考核委員會</w:t>
            </w:r>
            <w:r w:rsidR="00EC2FF0" w:rsidRPr="00EC2FF0">
              <w:rPr>
                <w:rFonts w:ascii="標楷體" w:eastAsia="標楷體" w:hAnsi="標楷體" w:hint="eastAsia"/>
                <w:sz w:val="32"/>
                <w:szCs w:val="32"/>
              </w:rPr>
              <w:t>陳主</w:t>
            </w:r>
            <w:r w:rsidR="00A97542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  <w:r w:rsidR="00EC2FF0" w:rsidRPr="00EC2FF0">
              <w:rPr>
                <w:rFonts w:ascii="標楷體" w:eastAsia="標楷體" w:hAnsi="標楷體" w:hint="eastAsia"/>
                <w:sz w:val="32"/>
                <w:szCs w:val="32"/>
              </w:rPr>
              <w:t>秘</w:t>
            </w:r>
            <w:r w:rsidR="00A97542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  <w:r w:rsidR="00EC2FF0" w:rsidRPr="00EC2FF0">
              <w:rPr>
                <w:rFonts w:ascii="標楷體" w:eastAsia="標楷體" w:hAnsi="標楷體" w:hint="eastAsia"/>
                <w:sz w:val="32"/>
                <w:szCs w:val="32"/>
              </w:rPr>
              <w:t>克文</w:t>
            </w:r>
          </w:p>
          <w:p w:rsidR="006060A6" w:rsidRPr="000B4A46" w:rsidRDefault="0073112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10、</w:t>
            </w:r>
            <w:r w:rsidRPr="0073112A">
              <w:rPr>
                <w:rFonts w:ascii="標楷體" w:eastAsia="標楷體" w:hAnsi="標楷體" w:hint="eastAsia"/>
                <w:sz w:val="32"/>
                <w:szCs w:val="32"/>
              </w:rPr>
              <w:t>大仁科技大學副校長林爵士</w:t>
            </w:r>
          </w:p>
          <w:p w:rsidR="00CF7B4F" w:rsidRPr="0073112A" w:rsidRDefault="0073112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11、</w:t>
            </w:r>
            <w:r w:rsidRPr="0073112A">
              <w:rPr>
                <w:rFonts w:ascii="標楷體" w:eastAsia="標楷體" w:hAnsi="標楷體" w:hint="eastAsia"/>
                <w:sz w:val="32"/>
                <w:szCs w:val="32"/>
              </w:rPr>
              <w:t>樹德科技大學金融管理系副教授吳建德</w:t>
            </w:r>
          </w:p>
          <w:p w:rsidR="0073112A" w:rsidRDefault="0073112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12、</w:t>
            </w:r>
            <w:r w:rsidRPr="0073112A">
              <w:rPr>
                <w:rFonts w:ascii="標楷體" w:eastAsia="標楷體" w:hAnsi="標楷體" w:hint="eastAsia"/>
                <w:sz w:val="32"/>
                <w:szCs w:val="32"/>
              </w:rPr>
              <w:t>崑山科技大學公共關係暨廣告系副教授馮國豪</w:t>
            </w:r>
          </w:p>
          <w:p w:rsidR="0073112A" w:rsidRDefault="0073112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13、</w:t>
            </w:r>
            <w:r w:rsidRPr="0073112A">
              <w:rPr>
                <w:rFonts w:ascii="標楷體" w:eastAsia="標楷體" w:hAnsi="標楷體" w:hint="eastAsia"/>
                <w:sz w:val="32"/>
                <w:szCs w:val="32"/>
              </w:rPr>
              <w:t>義守大學財務金融</w:t>
            </w:r>
            <w:r w:rsidR="006E1CED">
              <w:rPr>
                <w:rFonts w:ascii="標楷體" w:eastAsia="標楷體" w:hAnsi="標楷體" w:hint="eastAsia"/>
                <w:sz w:val="32"/>
                <w:szCs w:val="32"/>
              </w:rPr>
              <w:t>管理</w:t>
            </w:r>
            <w:r w:rsidRPr="0073112A">
              <w:rPr>
                <w:rFonts w:ascii="標楷體" w:eastAsia="標楷體" w:hAnsi="標楷體" w:hint="eastAsia"/>
                <w:sz w:val="32"/>
                <w:szCs w:val="32"/>
              </w:rPr>
              <w:t>學系教授李建興</w:t>
            </w:r>
          </w:p>
          <w:p w:rsidR="0073112A" w:rsidRPr="0073112A" w:rsidRDefault="0073112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14、</w:t>
            </w:r>
            <w:r w:rsidRPr="0073112A">
              <w:rPr>
                <w:rFonts w:ascii="標楷體" w:eastAsia="標楷體" w:hAnsi="標楷體" w:hint="eastAsia"/>
                <w:sz w:val="32"/>
                <w:szCs w:val="32"/>
              </w:rPr>
              <w:t>國立高雄餐旅大學進修推廣學院院長劉維群</w:t>
            </w:r>
          </w:p>
          <w:p w:rsidR="0015429B" w:rsidRPr="000B4A46" w:rsidRDefault="0073112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15、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本會全體議員</w:t>
            </w:r>
          </w:p>
        </w:tc>
      </w:tr>
      <w:tr w:rsidR="00CA5D06" w:rsidRPr="000B4A46" w:rsidTr="00DB53EB">
        <w:tc>
          <w:tcPr>
            <w:tcW w:w="1971" w:type="dxa"/>
          </w:tcPr>
          <w:p w:rsidR="00CA5D06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公聽會議題緣起及探討議題</w:t>
            </w:r>
          </w:p>
        </w:tc>
        <w:tc>
          <w:tcPr>
            <w:tcW w:w="7674" w:type="dxa"/>
          </w:tcPr>
          <w:p w:rsidR="002B737E" w:rsidRPr="000B4A46" w:rsidRDefault="002B737E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壹、議題緣起：</w:t>
            </w:r>
          </w:p>
          <w:p w:rsidR="002B737E" w:rsidRPr="000B4A46" w:rsidRDefault="002B737E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一、前言</w:t>
            </w:r>
          </w:p>
          <w:p w:rsidR="00073FAF" w:rsidRDefault="00073FAF" w:rsidP="006860B5">
            <w:pPr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新冠病毒疫情趨</w:t>
            </w:r>
            <w:proofErr w:type="gramEnd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緩，這段時間受到</w:t>
            </w:r>
            <w:proofErr w:type="gramStart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情影響，觀光客銳減，目前國內7月份將進入振興經濟階段，紓困措施需持續實施，尤其是針對部分未能完全復甦，依舊艱困的產業，政府要繼續給予協助，不過，振興力道必須大於紓困，可以先觀察國內景氣回溫情況再做檢討。</w:t>
            </w:r>
          </w:p>
          <w:p w:rsidR="00073FAF" w:rsidRDefault="000B4A46" w:rsidP="006860B5">
            <w:pPr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政府規劃紓困措施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在進入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振興階段，有部份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產業衝擊仍在，未能恢復，紓困應該需檢討是否再延長至少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季以上，而振興力道也必須大於紓困。以旅館業為例，旅館業有一些恢復了60％、70％了，但高雄在接外賓的、外客的國際觀光旅館，住房率從10%恢復到20%左右而已，以前80%的住房率，還是落差60%的影響，這個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部份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政府就必須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積極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協助紓困他們。</w:t>
            </w:r>
          </w:p>
          <w:p w:rsidR="00073FAF" w:rsidRPr="000B4A46" w:rsidRDefault="00073FAF" w:rsidP="006860B5">
            <w:pPr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台灣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因全民努力</w:t>
            </w:r>
            <w:r w:rsidR="005D4E01">
              <w:rPr>
                <w:rFonts w:ascii="標楷體" w:eastAsia="標楷體" w:hAnsi="標楷體" w:hint="eastAsia"/>
                <w:sz w:val="32"/>
                <w:szCs w:val="32"/>
              </w:rPr>
              <w:t>而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防疫得宜，民眾生活逐漸恢復正常，短期商務客入境居家檢疫期有條件縮短也開始實施，端午連假</w:t>
            </w:r>
            <w:proofErr w:type="gramStart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是解封後</w:t>
            </w:r>
            <w:proofErr w:type="gramEnd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的第一個大假日，買氣有回升到以往的6、</w:t>
            </w:r>
            <w:proofErr w:type="gramStart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7成</w:t>
            </w:r>
            <w:proofErr w:type="gramEnd"/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，希望市府以實際行動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帶頭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鼓勵民眾在完善防疫措施下多多出門旅遊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消費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，活絡經濟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，以達利民利己的最佳狀態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B4A46" w:rsidRDefault="006060A6" w:rsidP="006860B5">
            <w:pPr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專家學者均</w:t>
            </w:r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預估今年下半年景氣會好一點，但因邊境</w:t>
            </w:r>
            <w:proofErr w:type="gramStart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未解封</w:t>
            </w:r>
            <w:proofErr w:type="gramEnd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、世界各國</w:t>
            </w:r>
            <w:proofErr w:type="gramStart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疫情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仍</w:t>
            </w:r>
            <w:proofErr w:type="gramEnd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持續惡化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，在疫苗問世以前，景氣不可能會完全恢復，將呈現大U型反轉。只要台灣防疫做得好，不讓境外病毒在台擴散，下半年國內景氣復甦曲線就有機會呈現報復性上升走勢，但涉及外銷部分則預期持續受到</w:t>
            </w:r>
            <w:proofErr w:type="gramStart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情衝擊。</w:t>
            </w:r>
          </w:p>
          <w:p w:rsidR="00073FAF" w:rsidRPr="000B4A46" w:rsidRDefault="000B4A46" w:rsidP="006860B5">
            <w:pPr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總之，</w:t>
            </w:r>
            <w:proofErr w:type="gramEnd"/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中央「振興三倍</w:t>
            </w:r>
            <w:proofErr w:type="gramStart"/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券</w:t>
            </w:r>
            <w:proofErr w:type="gramEnd"/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」將於</w:t>
            </w:r>
            <w:r w:rsidR="005D4E01">
              <w:rPr>
                <w:rFonts w:ascii="標楷體" w:eastAsia="標楷體" w:hAnsi="標楷體" w:hint="eastAsia"/>
                <w:sz w:val="32"/>
                <w:szCs w:val="32"/>
              </w:rPr>
              <w:t>近期</w:t>
            </w:r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上路，外界也非常關心高雄市的加碼優惠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的配套</w:t>
            </w:r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內容，加上7月份將進入振興經濟階段，振興措施的</w:t>
            </w:r>
            <w:r w:rsidR="005D4E0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倍</w:t>
            </w:r>
            <w:proofErr w:type="gramStart"/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券</w:t>
            </w:r>
            <w:proofErr w:type="gramEnd"/>
            <w:r w:rsidR="009347F6" w:rsidRPr="009347F6">
              <w:rPr>
                <w:rFonts w:ascii="標楷體" w:eastAsia="標楷體" w:hAnsi="標楷體" w:hint="eastAsia"/>
                <w:sz w:val="32"/>
                <w:szCs w:val="32"/>
              </w:rPr>
              <w:t>上路後，一般皆認為下半年國內景氣將會轉好。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尤其在</w:t>
            </w:r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預期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心理之下，</w:t>
            </w:r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振興</w:t>
            </w:r>
            <w:proofErr w:type="gramStart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券</w:t>
            </w:r>
            <w:proofErr w:type="gramEnd"/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上路可望能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更</w:t>
            </w:r>
            <w:r w:rsidR="00073FAF" w:rsidRPr="000B4A46">
              <w:rPr>
                <w:rFonts w:ascii="標楷體" w:eastAsia="標楷體" w:hAnsi="標楷體" w:hint="eastAsia"/>
                <w:sz w:val="32"/>
                <w:szCs w:val="32"/>
              </w:rPr>
              <w:t>有效刺激國內消費活絡經濟，政府須留意勞動力調節，至於紓困措施，可先觀察7月復甦情況，做滾動式檢討，必要時可再延長1、2個月。</w:t>
            </w:r>
          </w:p>
          <w:p w:rsidR="006060A6" w:rsidRPr="000B4A46" w:rsidRDefault="006060A6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B737E" w:rsidRPr="000B4A46" w:rsidRDefault="002B737E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貳、探討議題：</w:t>
            </w:r>
          </w:p>
          <w:p w:rsidR="002B737E" w:rsidRPr="000B4A46" w:rsidRDefault="002B737E" w:rsidP="006860B5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proofErr w:type="gramStart"/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情預估還要多久能緩解，回歸正常生活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防疫措施未來如何調整</w:t>
            </w:r>
            <w:r w:rsidR="001A3546">
              <w:rPr>
                <w:rFonts w:ascii="標楷體" w:eastAsia="標楷體" w:hAnsi="標楷體" w:hint="eastAsia"/>
                <w:sz w:val="32"/>
                <w:szCs w:val="32"/>
              </w:rPr>
              <w:t>或常態化</w:t>
            </w:r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，才不致會去影響正常的經貿發展？</w:t>
            </w:r>
          </w:p>
          <w:p w:rsidR="002B737E" w:rsidRPr="000B4A46" w:rsidRDefault="002B737E" w:rsidP="006860B5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基層民眾與弱勢產業紓困力度情況如何？是否有效發揮效能，滾動式檢討的結果如何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市府的財務規劃因應有無困難</w:t>
            </w:r>
            <w:r w:rsidR="009347F6">
              <w:rPr>
                <w:rFonts w:ascii="新細明體" w:eastAsia="新細明體" w:hAnsi="新細明體" w:hint="eastAsia"/>
                <w:sz w:val="32"/>
                <w:szCs w:val="32"/>
              </w:rPr>
              <w:t>？</w:t>
            </w:r>
          </w:p>
          <w:p w:rsidR="002B737E" w:rsidRPr="000B4A46" w:rsidRDefault="002B737E" w:rsidP="006860B5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0B4A46" w:rsidRPr="000B4A46">
              <w:rPr>
                <w:rFonts w:ascii="標楷體" w:eastAsia="標楷體" w:hAnsi="標楷體" w:hint="eastAsia"/>
                <w:sz w:val="32"/>
                <w:szCs w:val="32"/>
              </w:rPr>
              <w:t>觀光產業目前還有哪些項目追不上不來？需要政府如何扶一程拉一把的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振興</w:t>
            </w:r>
            <w:proofErr w:type="gramStart"/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券</w:t>
            </w:r>
            <w:proofErr w:type="gramEnd"/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的配套加乘效果，市府有無具體規劃</w:t>
            </w:r>
            <w:r w:rsidR="009347F6">
              <w:rPr>
                <w:rFonts w:ascii="新細明體" w:eastAsia="新細明體" w:hAnsi="新細明體" w:hint="eastAsia"/>
                <w:sz w:val="32"/>
                <w:szCs w:val="32"/>
              </w:rPr>
              <w:t>？</w:t>
            </w:r>
          </w:p>
          <w:p w:rsidR="002B737E" w:rsidRPr="000B4A46" w:rsidRDefault="002B737E" w:rsidP="006860B5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="000B4A46" w:rsidRPr="000B4A46">
              <w:rPr>
                <w:rFonts w:ascii="標楷體" w:eastAsia="標楷體" w:hAnsi="標楷體" w:hint="eastAsia"/>
                <w:sz w:val="32"/>
                <w:szCs w:val="32"/>
              </w:rPr>
              <w:t>振興措施有無科學數據監測效果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  <w:r w:rsidR="009347F6">
              <w:rPr>
                <w:rFonts w:ascii="標楷體" w:eastAsia="標楷體" w:hAnsi="標楷體" w:hint="eastAsia"/>
                <w:sz w:val="32"/>
                <w:szCs w:val="32"/>
              </w:rPr>
              <w:t>民眾的想法與滿意度，有無調查了解</w:t>
            </w:r>
            <w:r w:rsidR="001A3546">
              <w:rPr>
                <w:rFonts w:ascii="新細明體" w:eastAsia="新細明體" w:hAnsi="新細明體" w:hint="eastAsia"/>
                <w:sz w:val="32"/>
                <w:szCs w:val="32"/>
              </w:rPr>
              <w:t>？</w:t>
            </w:r>
            <w:r w:rsidR="000B4A46" w:rsidRPr="000B4A46">
              <w:rPr>
                <w:rFonts w:ascii="標楷體" w:eastAsia="標楷體" w:hAnsi="標楷體" w:hint="eastAsia"/>
                <w:sz w:val="32"/>
                <w:szCs w:val="32"/>
              </w:rPr>
              <w:t>回歸正常的經濟發展還有哪些障礙與風險需要管控與排除的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  <w:p w:rsidR="002B737E" w:rsidRPr="000B4A46" w:rsidRDefault="002B737E" w:rsidP="006860B5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五、其他。</w:t>
            </w:r>
          </w:p>
          <w:p w:rsidR="002B737E" w:rsidRPr="000B4A46" w:rsidRDefault="002B737E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A5D06" w:rsidRPr="000B4A46" w:rsidRDefault="002B737E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叁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、議程：</w:t>
            </w:r>
          </w:p>
          <w:p w:rsidR="00335695" w:rsidRPr="000B4A46" w:rsidRDefault="00CA5D06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3569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335695" w:rsidRPr="000B4A46">
              <w:rPr>
                <w:rFonts w:ascii="標楷體" w:eastAsia="標楷體" w:hAnsi="標楷體" w:hint="eastAsia"/>
                <w:sz w:val="32"/>
                <w:szCs w:val="32"/>
              </w:rPr>
              <w:t>：30－1</w:t>
            </w:r>
            <w:r w:rsidR="0033569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335695" w:rsidRPr="000B4A46">
              <w:rPr>
                <w:rFonts w:ascii="標楷體" w:eastAsia="標楷體" w:hAnsi="標楷體" w:hint="eastAsia"/>
                <w:sz w:val="32"/>
                <w:szCs w:val="32"/>
              </w:rPr>
              <w:t>：00  報到，領取資料</w:t>
            </w:r>
          </w:p>
          <w:p w:rsidR="00335695" w:rsidRPr="000B4A46" w:rsidRDefault="00335695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：00－1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：10  公聽會主持人致詞</w:t>
            </w:r>
          </w:p>
          <w:p w:rsidR="00335695" w:rsidRPr="000B4A46" w:rsidRDefault="00335695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：10－1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：40  市府各局處單位代表報告</w:t>
            </w:r>
          </w:p>
          <w:p w:rsidR="00335695" w:rsidRPr="000B4A46" w:rsidRDefault="00335695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：40－1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：10  學者專家發言</w:t>
            </w:r>
          </w:p>
          <w:p w:rsidR="00335695" w:rsidRPr="000B4A46" w:rsidRDefault="00335695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：10－1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：50  與會貴賓發言及討論</w:t>
            </w:r>
          </w:p>
          <w:p w:rsidR="00CA5D06" w:rsidRPr="000B4A46" w:rsidRDefault="00335695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：50－1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：00  主持人結論</w:t>
            </w:r>
          </w:p>
        </w:tc>
      </w:tr>
      <w:tr w:rsidR="00CA5D06" w:rsidRPr="000B4A46" w:rsidTr="00DB53EB">
        <w:tc>
          <w:tcPr>
            <w:tcW w:w="1971" w:type="dxa"/>
          </w:tcPr>
          <w:p w:rsidR="00CA5D06" w:rsidRPr="000B4A46" w:rsidRDefault="00CA5D06" w:rsidP="006860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7674" w:type="dxa"/>
          </w:tcPr>
          <w:p w:rsidR="00CA5D06" w:rsidRPr="000B4A46" w:rsidRDefault="00CA5D06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EA4B0A" w:rsidRPr="000B4A46">
              <w:rPr>
                <w:rFonts w:ascii="標楷體" w:eastAsia="標楷體" w:hAnsi="標楷體" w:hint="eastAsia"/>
                <w:sz w:val="32"/>
                <w:szCs w:val="32"/>
              </w:rPr>
              <w:t>受邀單位請派員參加。</w:t>
            </w:r>
          </w:p>
          <w:p w:rsidR="00EA4B0A" w:rsidRPr="000B4A46" w:rsidRDefault="00EA4B0A" w:rsidP="006860B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二、出席人員請  貴機關准予公(差)假。</w:t>
            </w:r>
          </w:p>
        </w:tc>
      </w:tr>
    </w:tbl>
    <w:p w:rsidR="00CA5D06" w:rsidRPr="000B4A46" w:rsidRDefault="00CA5D06" w:rsidP="00FE2F2A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sectPr w:rsidR="00CA5D06" w:rsidRPr="000B4A46" w:rsidSect="00FE2F2A">
      <w:footerReference w:type="default" r:id="rId8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6E" w:rsidRDefault="00EF736E" w:rsidP="00DB53EB">
      <w:r>
        <w:separator/>
      </w:r>
    </w:p>
  </w:endnote>
  <w:endnote w:type="continuationSeparator" w:id="0">
    <w:p w:rsidR="00EF736E" w:rsidRDefault="00EF736E" w:rsidP="00D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3695"/>
      <w:docPartObj>
        <w:docPartGallery w:val="Page Numbers (Bottom of Page)"/>
        <w:docPartUnique/>
      </w:docPartObj>
    </w:sdtPr>
    <w:sdtEndPr/>
    <w:sdtContent>
      <w:p w:rsidR="00DB53EB" w:rsidRDefault="00DB5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2D" w:rsidRPr="00F9022D">
          <w:rPr>
            <w:noProof/>
            <w:lang w:val="zh-TW"/>
          </w:rPr>
          <w:t>1</w:t>
        </w:r>
        <w:r>
          <w:fldChar w:fldCharType="end"/>
        </w:r>
      </w:p>
    </w:sdtContent>
  </w:sdt>
  <w:p w:rsidR="00DB53EB" w:rsidRDefault="00DB5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6E" w:rsidRDefault="00EF736E" w:rsidP="00DB53EB">
      <w:r>
        <w:separator/>
      </w:r>
    </w:p>
  </w:footnote>
  <w:footnote w:type="continuationSeparator" w:id="0">
    <w:p w:rsidR="00EF736E" w:rsidRDefault="00EF736E" w:rsidP="00DB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6"/>
    <w:rsid w:val="00063C6C"/>
    <w:rsid w:val="0007140A"/>
    <w:rsid w:val="00073FAF"/>
    <w:rsid w:val="000B390F"/>
    <w:rsid w:val="000B4A46"/>
    <w:rsid w:val="00102879"/>
    <w:rsid w:val="0015429B"/>
    <w:rsid w:val="001A3546"/>
    <w:rsid w:val="001E7EA5"/>
    <w:rsid w:val="002230E4"/>
    <w:rsid w:val="002B737E"/>
    <w:rsid w:val="00335695"/>
    <w:rsid w:val="003C1293"/>
    <w:rsid w:val="003C56CC"/>
    <w:rsid w:val="004317E8"/>
    <w:rsid w:val="004D560F"/>
    <w:rsid w:val="004E01D8"/>
    <w:rsid w:val="004E5620"/>
    <w:rsid w:val="005464DB"/>
    <w:rsid w:val="005807F4"/>
    <w:rsid w:val="0058101F"/>
    <w:rsid w:val="005A1471"/>
    <w:rsid w:val="005B5E4D"/>
    <w:rsid w:val="005D4E01"/>
    <w:rsid w:val="006060A6"/>
    <w:rsid w:val="006104F0"/>
    <w:rsid w:val="006375E6"/>
    <w:rsid w:val="00663339"/>
    <w:rsid w:val="006860B5"/>
    <w:rsid w:val="006B47C6"/>
    <w:rsid w:val="006C181D"/>
    <w:rsid w:val="006C201D"/>
    <w:rsid w:val="006D0F7E"/>
    <w:rsid w:val="006E1CED"/>
    <w:rsid w:val="006F3B65"/>
    <w:rsid w:val="007156D3"/>
    <w:rsid w:val="0073112A"/>
    <w:rsid w:val="00751A6F"/>
    <w:rsid w:val="00830A0A"/>
    <w:rsid w:val="0086588D"/>
    <w:rsid w:val="008902E0"/>
    <w:rsid w:val="008D5474"/>
    <w:rsid w:val="009347F6"/>
    <w:rsid w:val="00962A7E"/>
    <w:rsid w:val="00966BA9"/>
    <w:rsid w:val="00972CB6"/>
    <w:rsid w:val="00992E27"/>
    <w:rsid w:val="009C383A"/>
    <w:rsid w:val="009E6B93"/>
    <w:rsid w:val="00A008C3"/>
    <w:rsid w:val="00A02E53"/>
    <w:rsid w:val="00A4499C"/>
    <w:rsid w:val="00A74AC0"/>
    <w:rsid w:val="00A97542"/>
    <w:rsid w:val="00AA72D5"/>
    <w:rsid w:val="00AC102E"/>
    <w:rsid w:val="00AE6AB9"/>
    <w:rsid w:val="00B106A6"/>
    <w:rsid w:val="00B273BD"/>
    <w:rsid w:val="00B84A6D"/>
    <w:rsid w:val="00BA31B9"/>
    <w:rsid w:val="00BF23E5"/>
    <w:rsid w:val="00C264B5"/>
    <w:rsid w:val="00C30058"/>
    <w:rsid w:val="00C4007E"/>
    <w:rsid w:val="00C45E4F"/>
    <w:rsid w:val="00CA5D06"/>
    <w:rsid w:val="00CE1569"/>
    <w:rsid w:val="00CF7B4F"/>
    <w:rsid w:val="00D01627"/>
    <w:rsid w:val="00D503A5"/>
    <w:rsid w:val="00DB53EB"/>
    <w:rsid w:val="00E464B4"/>
    <w:rsid w:val="00E74818"/>
    <w:rsid w:val="00E75F30"/>
    <w:rsid w:val="00E7686E"/>
    <w:rsid w:val="00E84745"/>
    <w:rsid w:val="00EA4B0A"/>
    <w:rsid w:val="00EC2FF0"/>
    <w:rsid w:val="00EF736E"/>
    <w:rsid w:val="00F8694A"/>
    <w:rsid w:val="00F9022D"/>
    <w:rsid w:val="00FB34D0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3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E60B-6234-4904-B2EF-F6FAAC9A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bradlin</dc:creator>
  <cp:lastModifiedBy>江麗珠</cp:lastModifiedBy>
  <cp:revision>9</cp:revision>
  <cp:lastPrinted>2018-12-19T17:55:00Z</cp:lastPrinted>
  <dcterms:created xsi:type="dcterms:W3CDTF">2020-07-07T02:37:00Z</dcterms:created>
  <dcterms:modified xsi:type="dcterms:W3CDTF">2020-07-14T03:45:00Z</dcterms:modified>
</cp:coreProperties>
</file>