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  <w:gridCol w:w="289"/>
      </w:tblGrid>
      <w:tr w:rsidR="00060600">
        <w:tc>
          <w:tcPr>
            <w:tcW w:w="9915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3"/>
              <w:gridCol w:w="2704"/>
              <w:gridCol w:w="870"/>
              <w:gridCol w:w="2238"/>
              <w:gridCol w:w="1071"/>
              <w:gridCol w:w="2171"/>
            </w:tblGrid>
            <w:tr w:rsidR="00A707D5" w:rsidTr="00A707D5">
              <w:trPr>
                <w:trHeight w:val="705"/>
              </w:trPr>
              <w:tc>
                <w:tcPr>
                  <w:tcW w:w="844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</w:rPr>
                    <w:t>高雄市議會第4屆第2次定期大會議員提案執行情形報告表</w:t>
                  </w:r>
                </w:p>
              </w:tc>
            </w:tr>
            <w:tr w:rsidR="00060600" w:rsidTr="0094359D">
              <w:trPr>
                <w:trHeight w:val="982"/>
              </w:trPr>
              <w:tc>
                <w:tcPr>
                  <w:tcW w:w="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3454" w:rsidRDefault="00CC3454" w:rsidP="00CC3454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C3454">
                    <w:rPr>
                      <w:rFonts w:ascii="標楷體" w:eastAsia="標楷體" w:hAnsi="標楷體" w:hint="eastAsia"/>
                      <w:sz w:val="28"/>
                    </w:rPr>
                    <w:t>提案</w:t>
                  </w:r>
                </w:p>
                <w:p w:rsidR="00060600" w:rsidRPr="00CC3454" w:rsidRDefault="00CC3454" w:rsidP="00CC345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C3454">
                    <w:rPr>
                      <w:rFonts w:ascii="標楷體" w:eastAsia="標楷體" w:hAnsi="標楷體" w:hint="eastAsia"/>
                      <w:sz w:val="28"/>
                    </w:rPr>
                    <w:t>議員</w:t>
                  </w:r>
                </w:p>
              </w:tc>
              <w:tc>
                <w:tcPr>
                  <w:tcW w:w="2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Pr="00CC3454" w:rsidRDefault="0094359D" w:rsidP="00CC3454">
                  <w:pPr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  <w:r w:rsidRPr="00CC3454">
                    <w:rPr>
                      <w:rFonts w:ascii="標楷體" w:eastAsia="標楷體" w:hAnsi="標楷體"/>
                      <w:color w:val="000000"/>
                      <w:sz w:val="28"/>
                    </w:rPr>
                    <w:t>許議員采蓁</w:t>
                  </w:r>
                </w:p>
              </w:tc>
              <w:tc>
                <w:tcPr>
                  <w:tcW w:w="8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Default="0094359D" w:rsidP="0094359D">
                  <w:pPr>
                    <w:jc w:val="both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類號</w:t>
                  </w:r>
                </w:p>
              </w:tc>
              <w:tc>
                <w:tcPr>
                  <w:tcW w:w="2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Default="0094359D" w:rsidP="0094359D">
                  <w:pPr>
                    <w:jc w:val="both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教育類第092號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3454" w:rsidRDefault="00CC3454" w:rsidP="00CC3454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C3454">
                    <w:rPr>
                      <w:rFonts w:ascii="標楷體" w:eastAsia="標楷體" w:hAnsi="標楷體" w:hint="eastAsia"/>
                      <w:sz w:val="28"/>
                    </w:rPr>
                    <w:t>主辦</w:t>
                  </w:r>
                </w:p>
                <w:p w:rsidR="00060600" w:rsidRDefault="00CC3454" w:rsidP="00CC3454">
                  <w:pPr>
                    <w:jc w:val="center"/>
                  </w:pPr>
                  <w:r w:rsidRPr="00CC3454">
                    <w:rPr>
                      <w:rFonts w:ascii="標楷體" w:eastAsia="標楷體" w:hAnsi="標楷體" w:hint="eastAsia"/>
                      <w:sz w:val="28"/>
                    </w:rPr>
                    <w:t>機關</w:t>
                  </w:r>
                </w:p>
              </w:tc>
              <w:tc>
                <w:tcPr>
                  <w:tcW w:w="21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Default="0094359D" w:rsidP="0094359D">
                  <w:pPr>
                    <w:jc w:val="both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高雄市政府教育局</w:t>
                  </w:r>
                </w:p>
              </w:tc>
            </w:tr>
            <w:tr w:rsidR="00A707D5" w:rsidTr="0094359D">
              <w:trPr>
                <w:trHeight w:val="914"/>
              </w:trPr>
              <w:tc>
                <w:tcPr>
                  <w:tcW w:w="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Default="0094359D" w:rsidP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案由</w:t>
                  </w:r>
                </w:p>
              </w:tc>
              <w:tc>
                <w:tcPr>
                  <w:tcW w:w="2709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Default="0094359D" w:rsidP="0094359D">
                  <w:pPr>
                    <w:jc w:val="both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將修復式正義帶入處理校園霸凌事件，應於過程中創造雙方對話溝通之空間。</w:t>
                  </w:r>
                </w:p>
              </w:tc>
            </w:tr>
            <w:tr w:rsidR="00A707D5" w:rsidTr="0094359D">
              <w:trPr>
                <w:trHeight w:val="820"/>
              </w:trPr>
              <w:tc>
                <w:tcPr>
                  <w:tcW w:w="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審查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br/>
                    <w:t>意見</w:t>
                  </w:r>
                </w:p>
              </w:tc>
              <w:tc>
                <w:tcPr>
                  <w:tcW w:w="2709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Default="0094359D" w:rsidP="0094359D">
                  <w:pPr>
                    <w:jc w:val="both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送請市政府研究辦理。</w:t>
                  </w:r>
                </w:p>
              </w:tc>
            </w:tr>
            <w:tr w:rsidR="00A707D5" w:rsidTr="0094359D">
              <w:trPr>
                <w:trHeight w:val="805"/>
              </w:trPr>
              <w:tc>
                <w:tcPr>
                  <w:tcW w:w="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大會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br/>
                    <w:t>決議</w:t>
                  </w:r>
                </w:p>
              </w:tc>
              <w:tc>
                <w:tcPr>
                  <w:tcW w:w="2709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Default="0094359D" w:rsidP="0094359D">
                  <w:pPr>
                    <w:jc w:val="both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送請市政府研究辦理。</w:t>
                  </w:r>
                </w:p>
              </w:tc>
            </w:tr>
            <w:tr w:rsidR="00A707D5" w:rsidTr="00A707D5">
              <w:trPr>
                <w:trHeight w:val="7339"/>
              </w:trPr>
              <w:tc>
                <w:tcPr>
                  <w:tcW w:w="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執</w:t>
                  </w: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行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br/>
                  </w: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情</w:t>
                  </w: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060600">
                  <w:pPr>
                    <w:jc w:val="center"/>
                  </w:pPr>
                </w:p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t>形</w:t>
                  </w:r>
                </w:p>
              </w:tc>
              <w:tc>
                <w:tcPr>
                  <w:tcW w:w="2709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C6" w:rsidRPr="009B3774" w:rsidRDefault="00A378C6" w:rsidP="00A378C6">
                  <w:pPr>
                    <w:spacing w:beforeLines="50" w:before="120" w:afterLines="50" w:after="120" w:line="440" w:lineRule="exact"/>
                    <w:ind w:firstLine="564"/>
                    <w:rPr>
                      <w:rFonts w:ascii="標楷體" w:eastAsia="標楷體" w:hAnsi="標楷體"/>
                      <w:vanish/>
                      <w:sz w:val="28"/>
                      <w:szCs w:val="28"/>
                      <w:specVanish/>
                    </w:rPr>
                  </w:pPr>
                  <w:r w:rsidRPr="00A378C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本市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積極推動修復式正義融入校園霸凌事件之處</w:t>
                  </w:r>
                  <w:r w:rsidR="008971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置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，期</w:t>
                  </w:r>
                  <w:r w:rsidR="008971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盼透過修復式正義相關策略，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協助事件相關人員</w:t>
                  </w:r>
                  <w:r w:rsidRPr="00A378C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表達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個人想法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同理</w:t>
                  </w:r>
                  <w:r w:rsidRPr="00A378C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對方感受，勇於承擔責任，進而修補事件所造成的傷害，重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建彼此</w:t>
                  </w:r>
                  <w:r w:rsidRPr="00A378C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關係，避免再次發生類似情事，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以</w:t>
                  </w:r>
                  <w:r w:rsidRPr="00A378C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確實達到教育之目的。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未來亦將配合</w:t>
                  </w:r>
                  <w:r w:rsidRPr="00A378C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教育部「校園霸凌防制準則」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修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正草案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新增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之</w:t>
                  </w:r>
                  <w:r w:rsidRP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</w:t>
                  </w:r>
                  <w:r w:rsidR="006533E6" w:rsidRP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生對生霸凌事件</w:t>
                  </w:r>
                  <w:r w:rsidRP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調和」機制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，培訓專業調和及調查人員，實際入校協助生對生霸凌案件之調和處置，</w:t>
                  </w:r>
                  <w:r w:rsidR="008971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以落實營造友善校園，目前本市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推動修復式正義處理校園霸凌事件具體作</w:t>
                  </w:r>
                  <w:r w:rsidR="008971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為</w:t>
                  </w:r>
                  <w:r w:rsidR="00653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如下</w:t>
                  </w:r>
                  <w:r w:rsidR="009B377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：</w:t>
                  </w:r>
                </w:p>
                <w:p w:rsidR="00A378C6" w:rsidRPr="00A378C6" w:rsidRDefault="009B3774" w:rsidP="00A378C6">
                  <w:pPr>
                    <w:spacing w:beforeLines="50" w:before="120" w:afterLines="50" w:after="120" w:line="440" w:lineRule="exact"/>
                    <w:ind w:firstLine="564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</w:t>
                  </w:r>
                </w:p>
                <w:p w:rsidR="00A707D5" w:rsidRPr="004B3D07" w:rsidRDefault="00A707D5" w:rsidP="00A707D5">
                  <w:pPr>
                    <w:spacing w:beforeLines="50" w:before="120" w:afterLines="50" w:after="120" w:line="44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一、</w:t>
                  </w:r>
                  <w:r w:rsidRPr="004B3D0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推動修復式正義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策略</w:t>
                  </w:r>
                  <w:r w:rsidRPr="004B3D0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處置霸凌事件，</w:t>
                  </w:r>
                  <w:r w:rsidR="00195BF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積極</w:t>
                  </w:r>
                  <w:r w:rsidRPr="004B3D0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促進</w:t>
                  </w:r>
                  <w:r w:rsidR="00CD7E9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雙方</w:t>
                  </w:r>
                  <w:r w:rsidRPr="004B3D0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關係修復</w:t>
                  </w:r>
                </w:p>
                <w:p w:rsidR="00A707D5" w:rsidRDefault="00A707D5" w:rsidP="00A707D5">
                  <w:pPr>
                    <w:spacing w:line="440" w:lineRule="exact"/>
                    <w:ind w:left="560" w:hangingChars="200" w:hanging="5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教育</w:t>
                  </w:r>
                  <w:r w:rsidRPr="005575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局積極推動「修復式正義」處置策略，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鼓勵學校於處置霸凌事件時(不限於調查結束後)，積極創造溝通機會，</w:t>
                  </w:r>
                  <w:r w:rsidRPr="005575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協助當事人雙方表達個人感受，讓該事件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之</w:t>
                  </w:r>
                  <w:r w:rsidRPr="005575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損害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及影響</w:t>
                  </w:r>
                  <w:r w:rsidRPr="005575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，能夠得到澄清、修復、反思，進而修復當事人雙方的關係，陳情人亦可於掌握事件原委，與對方達成後續處置共識後，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亦可</w:t>
                  </w:r>
                  <w:r w:rsidRPr="005575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署名提交「不予申請調查告知書」，向學校申請中止事件調查。</w:t>
                  </w:r>
                </w:p>
                <w:p w:rsidR="00A707D5" w:rsidRPr="00A707D5" w:rsidRDefault="00A707D5" w:rsidP="00A707D5">
                  <w:pPr>
                    <w:spacing w:beforeLines="50" w:before="120" w:afterLines="50" w:after="120" w:line="44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二、</w:t>
                  </w:r>
                  <w:r w:rsidRPr="00A4581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提升教師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應用</w:t>
                  </w:r>
                  <w:r w:rsidRPr="00A4581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修復式正義專業知能，</w:t>
                  </w:r>
                  <w:r w:rsidR="00CD7E9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創造</w:t>
                  </w:r>
                  <w:r w:rsidR="007A53D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校園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霸凌</w:t>
                  </w:r>
                  <w:r w:rsidR="00CD7E9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事件對話空間</w:t>
                  </w:r>
                </w:p>
                <w:p w:rsidR="00A707D5" w:rsidRDefault="00A707D5" w:rsidP="00A707D5">
                  <w:pPr>
                    <w:spacing w:line="440" w:lineRule="exact"/>
                    <w:ind w:left="560" w:hangingChars="200" w:hanging="5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教育局定期辦理修復式正義相關知能研習，</w:t>
                  </w:r>
                  <w:r w:rsidR="00322D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112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年度辦理情形如下：</w:t>
                  </w:r>
                </w:p>
                <w:p w:rsidR="00A707D5" w:rsidRPr="00B14BFA" w:rsidRDefault="00A707D5" w:rsidP="00A707D5">
                  <w:pPr>
                    <w:numPr>
                      <w:ilvl w:val="0"/>
                      <w:numId w:val="26"/>
                    </w:num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14BF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修復式正義促進者種子教師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初、進階培訓：於112年2月3日、8月8日辦理完畢，</w:t>
                  </w:r>
                  <w:r w:rsidRPr="00B14BF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提升學校教師、學務或輔導人員對於修復式正</w:t>
                  </w:r>
                  <w:r w:rsidRPr="00B14BF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lastRenderedPageBreak/>
                    <w:t>義概念的理解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，進而應用</w:t>
                  </w:r>
                  <w:r w:rsidRPr="000B698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修復式正義於校園霸凌與衝突事件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之處遇。</w:t>
                  </w:r>
                </w:p>
                <w:p w:rsidR="00A707D5" w:rsidRDefault="00A707D5" w:rsidP="00A707D5">
                  <w:pPr>
                    <w:numPr>
                      <w:ilvl w:val="0"/>
                      <w:numId w:val="26"/>
                    </w:num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14BF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推動修復促進者案例實際演練工作坊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：於112年10月14日辦理完畢，透過案例演練，協助教師</w:t>
                  </w:r>
                  <w:r w:rsidRPr="00B14BF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熟悉修復式正義實務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運作模式，進而應用於實際校園霸凌與衝突事件。</w:t>
                  </w:r>
                </w:p>
                <w:p w:rsidR="00A707D5" w:rsidRDefault="00A707D5" w:rsidP="00A707D5">
                  <w:pPr>
                    <w:numPr>
                      <w:ilvl w:val="0"/>
                      <w:numId w:val="26"/>
                    </w:num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「修復式正義」校園運用與推廣活動：</w:t>
                  </w:r>
                  <w:r w:rsidR="00EC65E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於112年</w:t>
                  </w:r>
                  <w:r w:rsidR="00EB3DA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6月21日、10月30日、11月23日分別至本市</w:t>
                  </w:r>
                  <w:r w:rsidR="00195BF6" w:rsidRPr="00195BF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4校(高中職1場次、國中2場次、國小1場次)</w:t>
                  </w:r>
                  <w:r w:rsidR="00195BF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進行修復式正義實務運用與分享，</w:t>
                  </w: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由修復促進者入校，協助學校</w:t>
                  </w:r>
                  <w:r w:rsidR="00195BF6"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運用修復式正義策略</w:t>
                  </w:r>
                  <w:r w:rsidR="00195BF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處理</w:t>
                  </w: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真實案例，透過實際演練，示範並傳達修復式正義處遇策略，</w:t>
                  </w:r>
                  <w:r w:rsidRPr="00A707D5">
                    <w:rPr>
                      <w:rFonts w:ascii="標楷體" w:eastAsia="標楷體" w:hAnsi="標楷體"/>
                      <w:sz w:val="28"/>
                      <w:szCs w:val="28"/>
                    </w:rPr>
                    <w:t>提</w:t>
                  </w: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升</w:t>
                  </w:r>
                  <w:r w:rsidR="00195BF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學校人員</w:t>
                  </w:r>
                  <w:r w:rsidRPr="00A707D5">
                    <w:rPr>
                      <w:rFonts w:ascii="標楷體" w:eastAsia="標楷體" w:hAnsi="標楷體"/>
                      <w:sz w:val="28"/>
                      <w:szCs w:val="28"/>
                    </w:rPr>
                    <w:t>對修復式正義</w:t>
                  </w: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之</w:t>
                  </w:r>
                  <w:r w:rsidRPr="00A707D5">
                    <w:rPr>
                      <w:rFonts w:ascii="標楷體" w:eastAsia="標楷體" w:hAnsi="標楷體"/>
                      <w:sz w:val="28"/>
                      <w:szCs w:val="28"/>
                    </w:rPr>
                    <w:t>瞭解</w:t>
                  </w: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與信心。</w:t>
                  </w:r>
                </w:p>
                <w:p w:rsidR="00060600" w:rsidRDefault="00A707D5" w:rsidP="00A707D5">
                  <w:pPr>
                    <w:numPr>
                      <w:ilvl w:val="0"/>
                      <w:numId w:val="26"/>
                    </w:num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持續辦理推廣「酷凌計畫」：透過帶領學生們戲劇體驗互動，透過五個部分</w:t>
                  </w:r>
                  <w:r w:rsidR="004443F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含</w:t>
                  </w: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演一遍、思想軌跡、坐針氈、新式論壇、同儕教學，藉由戲劇的策略，練習拆解衝突結構、覺察、同理自己和接納別人的過程。觀眾甚至能在戲劇情境中上台替代角色，找解決事情的方法</w:t>
                  </w:r>
                  <w:r w:rsidR="004443F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 w:rsidRPr="00A707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透過讓學生懂得管理衝突進而不讓霸凌發生。</w:t>
                  </w:r>
                </w:p>
                <w:p w:rsidR="00A707D5" w:rsidRPr="00195BF6" w:rsidRDefault="00A707D5" w:rsidP="00195BF6">
                  <w:pPr>
                    <w:spacing w:beforeLines="50" w:before="120" w:afterLines="50" w:after="120" w:line="44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195BF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三、</w:t>
                  </w:r>
                  <w:r w:rsidR="00195BF6" w:rsidRPr="00195BF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擴大家長對於「修復式正義」之認識，創造雙方對話溝通可能</w:t>
                  </w:r>
                </w:p>
                <w:p w:rsidR="00195BF6" w:rsidRPr="00195BF6" w:rsidRDefault="00195BF6" w:rsidP="00195BF6">
                  <w:pPr>
                    <w:spacing w:line="440" w:lineRule="exact"/>
                    <w:ind w:left="561" w:hangingChars="200" w:hanging="561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195BF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  </w:t>
                  </w:r>
                  <w:r w:rsidRPr="00195BF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於112年11月10日辦理「修復式正義策略因應校園霸凌事件之家長宣導講座」，邀請種子教師</w:t>
                  </w:r>
                  <w:r w:rsidR="006408F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針對</w:t>
                  </w:r>
                  <w:r w:rsidRPr="00195BF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修復式正義策略融入校園霸凌事件處理</w:t>
                  </w:r>
                  <w:r w:rsidR="006408F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，進行</w:t>
                  </w:r>
                  <w:r w:rsidRPr="00195BF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案例分析與經驗分享，</w:t>
                  </w:r>
                  <w:r w:rsidRPr="00195BF6">
                    <w:rPr>
                      <w:rFonts w:ascii="標楷體" w:eastAsia="標楷體" w:hAnsi="標楷體"/>
                      <w:sz w:val="28"/>
                      <w:szCs w:val="28"/>
                    </w:rPr>
                    <w:t>協助社區民眾及家長了解校園霸凌意涵及應處策略</w:t>
                  </w:r>
                  <w:r w:rsidR="006408F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，擴大家長面對校園霸凌案件時，採取修復式正義態度因應，創造彼此對話溝通之可能性。</w:t>
                  </w:r>
                </w:p>
                <w:p w:rsidR="006408F3" w:rsidRPr="006408F3" w:rsidRDefault="00CD7E9D" w:rsidP="006408F3">
                  <w:pPr>
                    <w:spacing w:beforeLines="50" w:before="120" w:afterLines="50" w:after="120" w:line="44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6408F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四、</w:t>
                  </w:r>
                  <w:r w:rsidR="006408F3" w:rsidRPr="006408F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培訓校園霸凌事件專業調和及調查人才，協助各校推動修復式正義</w:t>
                  </w:r>
                </w:p>
                <w:p w:rsidR="006408F3" w:rsidRPr="007B64C7" w:rsidRDefault="006408F3" w:rsidP="007B64C7">
                  <w:pPr>
                    <w:spacing w:line="440" w:lineRule="exact"/>
                    <w:ind w:left="560" w:hangingChars="200" w:hanging="5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教育部</w:t>
                  </w:r>
                  <w:r w:rsidR="004443F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刻正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辦理</w:t>
                  </w:r>
                  <w:r w:rsidRPr="00774E3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</w:t>
                  </w:r>
                  <w:r w:rsidRPr="006408F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霸凌事件專業調和及調查人才庫」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建置，</w:t>
                  </w:r>
                  <w:r w:rsid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期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透過推廣修復式正義與調解機制的建立</w:t>
                  </w:r>
                  <w:r w:rsid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，協助學校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針對情節輕微之案件</w:t>
                  </w:r>
                  <w:r w:rsid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轉化霸凌事件重點</w:t>
                  </w:r>
                  <w:r w:rsid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關心如何「修補傷害」</w:t>
                  </w:r>
                  <w:r w:rsid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而非</w:t>
                  </w:r>
                  <w:r w:rsidR="009435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僅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「調查事實</w:t>
                  </w:r>
                  <w:r w:rsidR="009435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、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懲罰錯誤」，同時強調尊重與包容，讓學生自我反省並學會積極地面對與承擔</w:t>
                  </w:r>
                  <w:r w:rsidR="009435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責任</w:t>
                  </w:r>
                  <w:r w:rsid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，尋求</w:t>
                  </w:r>
                  <w:r w:rsidR="007B64C7" w:rsidRPr="007B64C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雙方共識並解決紛爭，促進和解及修復雙方關係，以降低日後衝突再次發生之可能性。</w:t>
                  </w:r>
                </w:p>
              </w:tc>
            </w:tr>
            <w:tr w:rsidR="00A707D5" w:rsidTr="00221252">
              <w:trPr>
                <w:trHeight w:val="757"/>
              </w:trPr>
              <w:tc>
                <w:tcPr>
                  <w:tcW w:w="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600" w:rsidRDefault="0094359D">
                  <w:pPr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lastRenderedPageBreak/>
                    <w:t>復文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</w:rPr>
                    <w:br/>
                    <w:t>字號</w:t>
                  </w:r>
                </w:p>
              </w:tc>
              <w:tc>
                <w:tcPr>
                  <w:tcW w:w="2709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0600" w:rsidRPr="00221252" w:rsidRDefault="00221252" w:rsidP="00221252">
                  <w:pPr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221252">
                    <w:rPr>
                      <w:rFonts w:ascii="標楷體" w:eastAsia="標楷體" w:hAnsi="標楷體" w:hint="eastAsia"/>
                      <w:sz w:val="28"/>
                    </w:rPr>
                    <w:t>113年1月11日高市府教中字第11330390000號</w:t>
                  </w:r>
                </w:p>
              </w:tc>
            </w:tr>
          </w:tbl>
          <w:p w:rsidR="00060600" w:rsidRDefault="00060600"/>
        </w:tc>
        <w:tc>
          <w:tcPr>
            <w:tcW w:w="289" w:type="dxa"/>
          </w:tcPr>
          <w:p w:rsidR="00060600" w:rsidRDefault="00060600">
            <w:pPr>
              <w:pStyle w:val="EmptyCellLayoutStyle"/>
            </w:pPr>
          </w:p>
        </w:tc>
      </w:tr>
      <w:tr w:rsidR="00060600">
        <w:trPr>
          <w:trHeight w:val="1527"/>
        </w:trPr>
        <w:tc>
          <w:tcPr>
            <w:tcW w:w="9915" w:type="dxa"/>
          </w:tcPr>
          <w:p w:rsidR="00060600" w:rsidRDefault="00060600">
            <w:pPr>
              <w:pStyle w:val="EmptyCellLayoutStyle"/>
            </w:pPr>
            <w:bookmarkStart w:id="0" w:name="_GoBack"/>
            <w:bookmarkEnd w:id="0"/>
          </w:p>
        </w:tc>
        <w:tc>
          <w:tcPr>
            <w:tcW w:w="289" w:type="dxa"/>
          </w:tcPr>
          <w:p w:rsidR="00060600" w:rsidRDefault="00060600">
            <w:pPr>
              <w:pStyle w:val="EmptyCellLayoutStyle"/>
            </w:pPr>
          </w:p>
        </w:tc>
      </w:tr>
    </w:tbl>
    <w:p w:rsidR="00060600" w:rsidRDefault="00060600"/>
    <w:sectPr w:rsidR="00060600">
      <w:pgSz w:w="11905" w:h="16837"/>
      <w:pgMar w:top="1417" w:right="566" w:bottom="170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C66" w:rsidRDefault="00AF4C66" w:rsidP="00221252">
      <w:r>
        <w:separator/>
      </w:r>
    </w:p>
  </w:endnote>
  <w:endnote w:type="continuationSeparator" w:id="0">
    <w:p w:rsidR="00AF4C66" w:rsidRDefault="00AF4C66" w:rsidP="0022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C66" w:rsidRDefault="00AF4C66" w:rsidP="00221252">
      <w:r>
        <w:separator/>
      </w:r>
    </w:p>
  </w:footnote>
  <w:footnote w:type="continuationSeparator" w:id="0">
    <w:p w:rsidR="00AF4C66" w:rsidRDefault="00AF4C66" w:rsidP="0022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20727D64"/>
    <w:multiLevelType w:val="hybridMultilevel"/>
    <w:tmpl w:val="52ACFB8A"/>
    <w:lvl w:ilvl="0" w:tplc="1B527746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00"/>
    <w:rsid w:val="00060600"/>
    <w:rsid w:val="00195BF6"/>
    <w:rsid w:val="00221252"/>
    <w:rsid w:val="00322D7D"/>
    <w:rsid w:val="004443FF"/>
    <w:rsid w:val="0061189B"/>
    <w:rsid w:val="006408F3"/>
    <w:rsid w:val="006533E6"/>
    <w:rsid w:val="00774E3B"/>
    <w:rsid w:val="007961BB"/>
    <w:rsid w:val="007A53DC"/>
    <w:rsid w:val="007B64C7"/>
    <w:rsid w:val="0089717D"/>
    <w:rsid w:val="0094359D"/>
    <w:rsid w:val="009B3774"/>
    <w:rsid w:val="00A378C6"/>
    <w:rsid w:val="00A707D5"/>
    <w:rsid w:val="00AF4C66"/>
    <w:rsid w:val="00CC3454"/>
    <w:rsid w:val="00CD7E9D"/>
    <w:rsid w:val="00EB3DA7"/>
    <w:rsid w:val="00E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F421D"/>
  <w15:docId w15:val="{B6484810-C992-4455-A214-5BC751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2125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21252"/>
  </w:style>
  <w:style w:type="paragraph" w:styleId="a5">
    <w:name w:val="footer"/>
    <w:basedOn w:val="a"/>
    <w:link w:val="a6"/>
    <w:uiPriority w:val="99"/>
    <w:unhideWhenUsed/>
    <w:rsid w:val="0022125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2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CRW001ReportB_Final2</dc:title>
  <dc:creator>user</dc:creator>
  <dc:description/>
  <cp:lastModifiedBy>user</cp:lastModifiedBy>
  <cp:revision>11</cp:revision>
  <dcterms:created xsi:type="dcterms:W3CDTF">2024-01-02T02:51:00Z</dcterms:created>
  <dcterms:modified xsi:type="dcterms:W3CDTF">2024-01-11T09:02:00Z</dcterms:modified>
</cp:coreProperties>
</file>