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94" w:type="dxa"/>
        <w:tblInd w:w="-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9"/>
        <w:gridCol w:w="1976"/>
        <w:gridCol w:w="851"/>
        <w:gridCol w:w="2130"/>
        <w:gridCol w:w="854"/>
        <w:gridCol w:w="2074"/>
      </w:tblGrid>
      <w:tr w:rsidR="006E2A50" w:rsidRPr="0071452A" w:rsidTr="00AB0041">
        <w:trPr>
          <w:trHeight w:val="868"/>
        </w:trPr>
        <w:tc>
          <w:tcPr>
            <w:tcW w:w="93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2A50" w:rsidRPr="0071452A" w:rsidRDefault="00127424" w:rsidP="0012742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="006E2A50" w:rsidRPr="0071452A">
              <w:rPr>
                <w:rFonts w:ascii="標楷體" w:eastAsia="標楷體" w:hAnsi="標楷體" w:hint="eastAsia"/>
                <w:sz w:val="36"/>
                <w:szCs w:val="36"/>
              </w:rPr>
              <w:t>高雄市議會第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二</w:t>
            </w:r>
            <w:r w:rsidR="006E2A50" w:rsidRPr="0071452A">
              <w:rPr>
                <w:rFonts w:ascii="標楷體" w:eastAsia="標楷體" w:hAnsi="標楷體" w:hint="eastAsia"/>
                <w:sz w:val="36"/>
                <w:szCs w:val="36"/>
              </w:rPr>
              <w:t>屆第</w:t>
            </w:r>
            <w:r w:rsidR="00E243B8"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  <w:r w:rsidR="006E2A50" w:rsidRPr="0071452A">
              <w:rPr>
                <w:rFonts w:ascii="標楷體" w:eastAsia="標楷體" w:hAnsi="標楷體" w:hint="eastAsia"/>
                <w:sz w:val="36"/>
                <w:szCs w:val="36"/>
              </w:rPr>
              <w:t>次</w:t>
            </w:r>
            <w:r w:rsidR="0035690C" w:rsidRPr="0035690C">
              <w:rPr>
                <w:rFonts w:ascii="標楷體" w:eastAsia="標楷體" w:hAnsi="標楷體" w:hint="eastAsia"/>
                <w:sz w:val="36"/>
                <w:szCs w:val="36"/>
              </w:rPr>
              <w:t>定期大會</w:t>
            </w:r>
            <w:r w:rsidR="006E2A50" w:rsidRPr="0071452A">
              <w:rPr>
                <w:rFonts w:ascii="標楷體" w:eastAsia="標楷體" w:hAnsi="標楷體" w:hint="eastAsia"/>
                <w:sz w:val="36"/>
                <w:szCs w:val="36"/>
              </w:rPr>
              <w:t>議員提案執行情形報告表</w:t>
            </w:r>
          </w:p>
        </w:tc>
      </w:tr>
      <w:tr w:rsidR="006E2A50" w:rsidRPr="0071452A" w:rsidTr="00AB0041">
        <w:trPr>
          <w:trHeight w:val="868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6E2A50" w:rsidRPr="0071452A" w:rsidRDefault="006E2A50" w:rsidP="00AB00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452A">
              <w:rPr>
                <w:rFonts w:ascii="標楷體" w:eastAsia="標楷體" w:hAnsi="標楷體" w:hint="eastAsia"/>
                <w:sz w:val="28"/>
                <w:szCs w:val="28"/>
              </w:rPr>
              <w:t>提案議員</w:t>
            </w:r>
          </w:p>
        </w:tc>
        <w:tc>
          <w:tcPr>
            <w:tcW w:w="1976" w:type="dxa"/>
            <w:noWrap/>
            <w:vAlign w:val="center"/>
          </w:tcPr>
          <w:p w:rsidR="00347D0B" w:rsidRDefault="003D1371" w:rsidP="0084605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黃柏霖</w:t>
            </w:r>
          </w:p>
          <w:p w:rsidR="00BB535C" w:rsidRPr="0071452A" w:rsidRDefault="00BB535C" w:rsidP="00BB535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452A">
              <w:rPr>
                <w:rFonts w:ascii="標楷體" w:eastAsia="標楷體" w:hAnsi="標楷體" w:hint="eastAsia"/>
                <w:sz w:val="28"/>
                <w:szCs w:val="28"/>
              </w:rPr>
              <w:t>連署議員</w:t>
            </w:r>
          </w:p>
          <w:p w:rsidR="00571FE9" w:rsidRDefault="00BB535C" w:rsidP="0084605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陳麗珍</w:t>
            </w:r>
          </w:p>
          <w:p w:rsidR="00BB535C" w:rsidRPr="0071452A" w:rsidRDefault="00BB535C" w:rsidP="0084605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王耀裕</w:t>
            </w:r>
          </w:p>
        </w:tc>
        <w:tc>
          <w:tcPr>
            <w:tcW w:w="851" w:type="dxa"/>
            <w:noWrap/>
            <w:vAlign w:val="center"/>
          </w:tcPr>
          <w:p w:rsidR="006E2A50" w:rsidRPr="0071452A" w:rsidRDefault="006E2A50" w:rsidP="00AB00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1452A">
              <w:rPr>
                <w:rFonts w:ascii="標楷體" w:eastAsia="標楷體" w:hAnsi="標楷體" w:hint="eastAsia"/>
                <w:sz w:val="28"/>
                <w:szCs w:val="28"/>
              </w:rPr>
              <w:t>類號</w:t>
            </w:r>
            <w:proofErr w:type="gramEnd"/>
          </w:p>
        </w:tc>
        <w:tc>
          <w:tcPr>
            <w:tcW w:w="2130" w:type="dxa"/>
            <w:noWrap/>
            <w:vAlign w:val="center"/>
          </w:tcPr>
          <w:p w:rsidR="006E2A50" w:rsidRPr="0071452A" w:rsidRDefault="003D1371" w:rsidP="003D13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社政類第26號</w:t>
            </w:r>
            <w:proofErr w:type="gramEnd"/>
          </w:p>
        </w:tc>
        <w:tc>
          <w:tcPr>
            <w:tcW w:w="854" w:type="dxa"/>
            <w:noWrap/>
            <w:vAlign w:val="center"/>
          </w:tcPr>
          <w:p w:rsidR="006E2A50" w:rsidRPr="0071452A" w:rsidRDefault="006E2A50" w:rsidP="00AB00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452A">
              <w:rPr>
                <w:rFonts w:ascii="標楷體" w:eastAsia="標楷體" w:hAnsi="標楷體" w:hint="eastAsia"/>
                <w:sz w:val="28"/>
                <w:szCs w:val="28"/>
              </w:rPr>
              <w:t>主辦單位</w:t>
            </w:r>
          </w:p>
        </w:tc>
        <w:tc>
          <w:tcPr>
            <w:tcW w:w="2074" w:type="dxa"/>
            <w:tcBorders>
              <w:right w:val="single" w:sz="4" w:space="0" w:color="auto"/>
            </w:tcBorders>
            <w:noWrap/>
            <w:vAlign w:val="center"/>
          </w:tcPr>
          <w:p w:rsidR="006E2A50" w:rsidRPr="0071452A" w:rsidRDefault="006E2A50" w:rsidP="004510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452A">
              <w:rPr>
                <w:rFonts w:ascii="標楷體" w:eastAsia="標楷體" w:hAnsi="標楷體" w:hint="eastAsia"/>
                <w:sz w:val="28"/>
                <w:szCs w:val="28"/>
              </w:rPr>
              <w:t>高雄市政府</w:t>
            </w:r>
          </w:p>
          <w:p w:rsidR="006E2A50" w:rsidRPr="0071452A" w:rsidRDefault="006E2A50" w:rsidP="004510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452A">
              <w:rPr>
                <w:rFonts w:ascii="標楷體" w:eastAsia="標楷體" w:hAnsi="標楷體" w:hint="eastAsia"/>
                <w:sz w:val="28"/>
                <w:szCs w:val="28"/>
              </w:rPr>
              <w:t>衛生局</w:t>
            </w:r>
          </w:p>
        </w:tc>
      </w:tr>
      <w:tr w:rsidR="006E2A50" w:rsidRPr="0071452A" w:rsidTr="00AB0041">
        <w:trPr>
          <w:trHeight w:val="1093"/>
        </w:trPr>
        <w:tc>
          <w:tcPr>
            <w:tcW w:w="1509" w:type="dxa"/>
            <w:tcBorders>
              <w:left w:val="single" w:sz="4" w:space="0" w:color="auto"/>
            </w:tcBorders>
            <w:noWrap/>
            <w:vAlign w:val="center"/>
          </w:tcPr>
          <w:p w:rsidR="006E2A50" w:rsidRPr="0071452A" w:rsidRDefault="006E2A50" w:rsidP="00AB00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452A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</w:tc>
        <w:tc>
          <w:tcPr>
            <w:tcW w:w="7885" w:type="dxa"/>
            <w:gridSpan w:val="5"/>
            <w:tcBorders>
              <w:right w:val="single" w:sz="4" w:space="0" w:color="auto"/>
            </w:tcBorders>
            <w:noWrap/>
            <w:vAlign w:val="center"/>
          </w:tcPr>
          <w:p w:rsidR="006E2A50" w:rsidRPr="0071452A" w:rsidRDefault="001C045D" w:rsidP="00DF15B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保護精障者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與社會安全，應該找到平衡點</w:t>
            </w:r>
          </w:p>
        </w:tc>
      </w:tr>
      <w:tr w:rsidR="006E2A50" w:rsidRPr="0071452A" w:rsidTr="00AB0041">
        <w:trPr>
          <w:trHeight w:val="868"/>
        </w:trPr>
        <w:tc>
          <w:tcPr>
            <w:tcW w:w="1509" w:type="dxa"/>
            <w:tcBorders>
              <w:left w:val="single" w:sz="4" w:space="0" w:color="auto"/>
            </w:tcBorders>
            <w:noWrap/>
            <w:vAlign w:val="center"/>
          </w:tcPr>
          <w:p w:rsidR="006E2A50" w:rsidRPr="0071452A" w:rsidRDefault="006E2A50" w:rsidP="00AB004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1452A">
              <w:rPr>
                <w:rFonts w:eastAsia="標楷體" w:hint="eastAsia"/>
                <w:sz w:val="28"/>
                <w:szCs w:val="28"/>
              </w:rPr>
              <w:t>審查意見</w:t>
            </w:r>
          </w:p>
        </w:tc>
        <w:tc>
          <w:tcPr>
            <w:tcW w:w="7885" w:type="dxa"/>
            <w:gridSpan w:val="5"/>
            <w:tcBorders>
              <w:right w:val="single" w:sz="4" w:space="0" w:color="auto"/>
            </w:tcBorders>
            <w:noWrap/>
            <w:vAlign w:val="center"/>
          </w:tcPr>
          <w:p w:rsidR="006E2A50" w:rsidRPr="0071452A" w:rsidRDefault="001C045D" w:rsidP="00AB0041">
            <w:pPr>
              <w:rPr>
                <w:rFonts w:eastAsia="標楷體"/>
                <w:sz w:val="28"/>
                <w:szCs w:val="28"/>
              </w:rPr>
            </w:pPr>
            <w:r w:rsidRPr="0071452A">
              <w:rPr>
                <w:rFonts w:eastAsia="標楷體" w:hint="eastAsia"/>
                <w:sz w:val="28"/>
                <w:szCs w:val="28"/>
              </w:rPr>
              <w:t>送請市政府研究辦理。</w:t>
            </w:r>
          </w:p>
        </w:tc>
      </w:tr>
      <w:tr w:rsidR="006E2A50" w:rsidRPr="0071452A" w:rsidTr="00AB0041">
        <w:trPr>
          <w:trHeight w:val="868"/>
        </w:trPr>
        <w:tc>
          <w:tcPr>
            <w:tcW w:w="1509" w:type="dxa"/>
            <w:tcBorders>
              <w:left w:val="single" w:sz="4" w:space="0" w:color="auto"/>
            </w:tcBorders>
            <w:noWrap/>
            <w:vAlign w:val="center"/>
          </w:tcPr>
          <w:p w:rsidR="006E2A50" w:rsidRPr="0071452A" w:rsidRDefault="006E2A50" w:rsidP="00AB004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1452A">
              <w:rPr>
                <w:rFonts w:eastAsia="標楷體" w:hint="eastAsia"/>
                <w:sz w:val="28"/>
                <w:szCs w:val="28"/>
              </w:rPr>
              <w:t>大會決議</w:t>
            </w:r>
          </w:p>
        </w:tc>
        <w:tc>
          <w:tcPr>
            <w:tcW w:w="7885" w:type="dxa"/>
            <w:gridSpan w:val="5"/>
            <w:tcBorders>
              <w:right w:val="single" w:sz="4" w:space="0" w:color="auto"/>
            </w:tcBorders>
            <w:noWrap/>
            <w:vAlign w:val="center"/>
          </w:tcPr>
          <w:p w:rsidR="006E2A50" w:rsidRPr="0071452A" w:rsidRDefault="006E2A50" w:rsidP="00DF15BB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71452A">
              <w:rPr>
                <w:rFonts w:eastAsia="標楷體" w:hint="eastAsia"/>
                <w:sz w:val="28"/>
                <w:szCs w:val="28"/>
              </w:rPr>
              <w:t>送請市政府研究辦理。</w:t>
            </w:r>
          </w:p>
        </w:tc>
      </w:tr>
      <w:tr w:rsidR="006E2A50" w:rsidRPr="006A7952" w:rsidTr="00AB0041">
        <w:trPr>
          <w:trHeight w:val="5375"/>
        </w:trPr>
        <w:tc>
          <w:tcPr>
            <w:tcW w:w="1509" w:type="dxa"/>
            <w:tcBorders>
              <w:left w:val="single" w:sz="4" w:space="0" w:color="auto"/>
            </w:tcBorders>
            <w:noWrap/>
            <w:vAlign w:val="center"/>
          </w:tcPr>
          <w:p w:rsidR="006E2A50" w:rsidRPr="00AE1A23" w:rsidRDefault="006E2A50" w:rsidP="00AB004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E1A23">
              <w:rPr>
                <w:rFonts w:eastAsia="標楷體" w:hint="eastAsia"/>
                <w:sz w:val="28"/>
                <w:szCs w:val="28"/>
              </w:rPr>
              <w:t>執</w:t>
            </w:r>
          </w:p>
          <w:p w:rsidR="006E2A50" w:rsidRPr="00AE1A23" w:rsidRDefault="006E2A50" w:rsidP="00AB004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E1A23">
              <w:rPr>
                <w:rFonts w:eastAsia="標楷體" w:hint="eastAsia"/>
                <w:sz w:val="28"/>
                <w:szCs w:val="28"/>
              </w:rPr>
              <w:t>行</w:t>
            </w:r>
          </w:p>
          <w:p w:rsidR="006E2A50" w:rsidRPr="00AE1A23" w:rsidRDefault="006E2A50" w:rsidP="00AB004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E1A23">
              <w:rPr>
                <w:rFonts w:eastAsia="標楷體" w:hint="eastAsia"/>
                <w:sz w:val="28"/>
                <w:szCs w:val="28"/>
              </w:rPr>
              <w:t>情</w:t>
            </w:r>
          </w:p>
          <w:p w:rsidR="006E2A50" w:rsidRPr="00AE1A23" w:rsidRDefault="006E2A50" w:rsidP="00AB004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E1A23">
              <w:rPr>
                <w:rFonts w:eastAsia="標楷體" w:hint="eastAsia"/>
                <w:sz w:val="28"/>
                <w:szCs w:val="28"/>
              </w:rPr>
              <w:t>形</w:t>
            </w:r>
          </w:p>
        </w:tc>
        <w:tc>
          <w:tcPr>
            <w:tcW w:w="7885" w:type="dxa"/>
            <w:gridSpan w:val="5"/>
            <w:tcBorders>
              <w:right w:val="single" w:sz="4" w:space="0" w:color="auto"/>
            </w:tcBorders>
            <w:noWrap/>
          </w:tcPr>
          <w:p w:rsidR="00AA6D9E" w:rsidRPr="00164085" w:rsidRDefault="00697D15" w:rsidP="00F64D0D">
            <w:pPr>
              <w:numPr>
                <w:ilvl w:val="0"/>
                <w:numId w:val="13"/>
              </w:numPr>
              <w:spacing w:line="500" w:lineRule="exact"/>
              <w:ind w:left="690" w:hanging="567"/>
              <w:jc w:val="both"/>
              <w:rPr>
                <w:rFonts w:hAnsi="標楷體"/>
                <w:sz w:val="28"/>
                <w:szCs w:val="28"/>
              </w:rPr>
            </w:pPr>
            <w:r w:rsidRPr="00164085">
              <w:rPr>
                <w:rFonts w:ascii="標楷體" w:eastAsia="標楷體" w:hAnsi="標楷體" w:hint="eastAsia"/>
                <w:sz w:val="28"/>
                <w:szCs w:val="28"/>
              </w:rPr>
              <w:t>有關身心障礙鑑定類別及其基準是由中央訂定之規範，為全國統一之標準，其鑑定乃透過指定鑑定醫院醫療團隊依其專業及中央規範，依個案實際疾病現況判定個案達到何種身心障礙類別等級。</w:t>
            </w:r>
          </w:p>
          <w:p w:rsidR="006A6023" w:rsidRDefault="006A6023" w:rsidP="00F64D0D">
            <w:pPr>
              <w:numPr>
                <w:ilvl w:val="0"/>
                <w:numId w:val="13"/>
              </w:numPr>
              <w:spacing w:line="500" w:lineRule="exact"/>
              <w:ind w:left="690" w:hanging="567"/>
              <w:jc w:val="both"/>
              <w:rPr>
                <w:rFonts w:ascii="標楷體" w:eastAsia="標楷體" w:hAnsi="標楷體"/>
                <w:sz w:val="28"/>
              </w:rPr>
            </w:pPr>
            <w:r w:rsidRPr="006A6023">
              <w:rPr>
                <w:rFonts w:ascii="標楷體" w:eastAsia="標楷體" w:hAnsi="標楷體" w:hint="eastAsia"/>
                <w:sz w:val="28"/>
              </w:rPr>
              <w:t>疑似精神病人</w:t>
            </w:r>
            <w:r w:rsidR="00273A6A">
              <w:rPr>
                <w:rFonts w:ascii="標楷體" w:eastAsia="標楷體" w:hAnsi="標楷體" w:hint="eastAsia"/>
                <w:sz w:val="28"/>
              </w:rPr>
              <w:t>司法精神</w:t>
            </w:r>
            <w:r w:rsidRPr="006A6023">
              <w:rPr>
                <w:rFonts w:ascii="標楷體" w:eastAsia="標楷體" w:hAnsi="標楷體" w:hint="eastAsia"/>
                <w:sz w:val="28"/>
              </w:rPr>
              <w:t>鑑定相關事宜：</w:t>
            </w:r>
          </w:p>
          <w:p w:rsidR="00273A6A" w:rsidRPr="00C4202F" w:rsidRDefault="00C4202F" w:rsidP="00273A6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500" w:lineRule="exact"/>
              <w:ind w:hanging="597"/>
            </w:pPr>
            <w:r>
              <w:rPr>
                <w:rFonts w:ascii="標楷體" w:eastAsia="標楷體" w:hAnsi="標楷體" w:cs="DFMingMedium-B5" w:hint="eastAsia"/>
                <w:color w:val="030403"/>
                <w:kern w:val="0"/>
                <w:sz w:val="28"/>
                <w:szCs w:val="28"/>
              </w:rPr>
              <w:t>司法精神鑑定係依</w:t>
            </w:r>
            <w:r w:rsidR="006A6023" w:rsidRPr="00273A6A">
              <w:rPr>
                <w:rFonts w:ascii="標楷體" w:eastAsia="標楷體" w:hAnsi="標楷體" w:cs="DFMingMedium-B5" w:hint="eastAsia"/>
                <w:color w:val="030403"/>
                <w:kern w:val="0"/>
                <w:sz w:val="28"/>
                <w:szCs w:val="28"/>
              </w:rPr>
              <w:t>刑法第十九條刑事責任能力之規定，</w:t>
            </w:r>
            <w:r w:rsidR="00273A6A" w:rsidRPr="00C4202F">
              <w:rPr>
                <w:rFonts w:ascii="標楷體" w:eastAsia="標楷體" w:hAnsi="標楷體" w:cs="DFMingMedium-B5" w:hint="eastAsia"/>
                <w:color w:val="030403"/>
                <w:kern w:val="0"/>
                <w:sz w:val="28"/>
                <w:szCs w:val="28"/>
              </w:rPr>
              <w:t>主要鑑定當事人行為時有無因</w:t>
            </w:r>
            <w:r w:rsidR="00273A6A" w:rsidRPr="00273A6A">
              <w:rPr>
                <w:rFonts w:ascii="標楷體" w:eastAsia="標楷體" w:hAnsi="標楷體" w:cs="DFMingMedium-B5" w:hint="eastAsia"/>
                <w:color w:val="030403"/>
                <w:kern w:val="0"/>
                <w:sz w:val="28"/>
                <w:szCs w:val="28"/>
              </w:rPr>
              <w:t>「精神障礙或其他心智缺陷」之生理原因要件，</w:t>
            </w:r>
            <w:r w:rsidR="00273A6A" w:rsidRPr="00C4202F">
              <w:rPr>
                <w:rFonts w:ascii="標楷體" w:eastAsia="標楷體" w:hAnsi="標楷體" w:cs="DFMingMedium-B5" w:hint="eastAsia"/>
                <w:color w:val="030403"/>
                <w:kern w:val="0"/>
                <w:sz w:val="28"/>
                <w:szCs w:val="28"/>
              </w:rPr>
              <w:t>「致不能辨識其行為違法或欠缺依其辨識而行為之能力」或「致其辨識行為違法或依其辨識而行為之能力，顯著降低」之情形</w:t>
            </w:r>
            <w:r>
              <w:rPr>
                <w:rFonts w:ascii="標楷體" w:eastAsia="標楷體" w:hAnsi="標楷體" w:cs="DFMingMedium-B5" w:hint="eastAsia"/>
                <w:color w:val="030403"/>
                <w:kern w:val="0"/>
                <w:sz w:val="28"/>
                <w:szCs w:val="28"/>
              </w:rPr>
              <w:t>；</w:t>
            </w:r>
            <w:r w:rsidR="00273A6A" w:rsidRPr="00C4202F">
              <w:rPr>
                <w:rFonts w:ascii="標楷體" w:eastAsia="標楷體" w:hAnsi="標楷體" w:cs="DFMingMedium-B5" w:hint="eastAsia"/>
                <w:color w:val="030403"/>
                <w:kern w:val="0"/>
                <w:sz w:val="28"/>
                <w:szCs w:val="28"/>
              </w:rPr>
              <w:t>因此鑑定在於</w:t>
            </w:r>
            <w:proofErr w:type="gramStart"/>
            <w:r w:rsidR="00273A6A" w:rsidRPr="00C4202F">
              <w:rPr>
                <w:rFonts w:ascii="標楷體" w:eastAsia="標楷體" w:hAnsi="標楷體" w:cs="DFMingMedium-B5" w:hint="eastAsia"/>
                <w:color w:val="030403"/>
                <w:kern w:val="0"/>
                <w:sz w:val="28"/>
                <w:szCs w:val="28"/>
              </w:rPr>
              <w:t>釐</w:t>
            </w:r>
            <w:proofErr w:type="gramEnd"/>
            <w:r w:rsidR="00273A6A" w:rsidRPr="00C4202F">
              <w:rPr>
                <w:rFonts w:ascii="標楷體" w:eastAsia="標楷體" w:hAnsi="標楷體" w:cs="DFMingMedium-B5" w:hint="eastAsia"/>
                <w:color w:val="030403"/>
                <w:kern w:val="0"/>
                <w:sz w:val="28"/>
                <w:szCs w:val="28"/>
              </w:rPr>
              <w:t>清當事人的精神及心智狀態與其案件行為之間的關連性及因果關係</w:t>
            </w:r>
            <w:r>
              <w:rPr>
                <w:rFonts w:ascii="標楷體" w:eastAsia="標楷體" w:hAnsi="標楷體" w:cs="DFMingMedium-B5" w:hint="eastAsia"/>
                <w:color w:val="030403"/>
                <w:kern w:val="0"/>
                <w:sz w:val="28"/>
                <w:szCs w:val="28"/>
              </w:rPr>
              <w:t>，</w:t>
            </w:r>
            <w:r w:rsidR="00273A6A" w:rsidRPr="00273A6A">
              <w:rPr>
                <w:rFonts w:ascii="標楷體" w:eastAsia="標楷體" w:hAnsi="標楷體" w:cs="DFMingMedium-B5" w:hint="eastAsia"/>
                <w:color w:val="030403"/>
                <w:kern w:val="0"/>
                <w:sz w:val="28"/>
                <w:szCs w:val="28"/>
              </w:rPr>
              <w:t>事涉醫學精神病科之專門學識，須由精神醫療機構予以診察鑑定</w:t>
            </w:r>
            <w:r>
              <w:rPr>
                <w:rFonts w:ascii="標楷體" w:eastAsia="標楷體" w:hAnsi="標楷體" w:cs="DFMingMedium-B5" w:hint="eastAsia"/>
                <w:color w:val="030403"/>
                <w:kern w:val="0"/>
                <w:sz w:val="28"/>
                <w:szCs w:val="28"/>
              </w:rPr>
              <w:t>。</w:t>
            </w:r>
          </w:p>
          <w:p w:rsidR="00131175" w:rsidRDefault="006A6023" w:rsidP="001311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500" w:lineRule="exact"/>
              <w:ind w:leftChars="59" w:left="850" w:hangingChars="253" w:hanging="708"/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</w:pPr>
            <w:r w:rsidRPr="00E14773">
              <w:rPr>
                <w:rFonts w:ascii="標楷體" w:eastAsia="標楷體" w:hAnsi="標楷體" w:cs="DFMingMedium-B5"/>
                <w:color w:val="030403"/>
                <w:kern w:val="0"/>
                <w:sz w:val="28"/>
                <w:szCs w:val="28"/>
              </w:rPr>
              <w:t>精神</w:t>
            </w:r>
            <w:r w:rsidR="00273A6A" w:rsidRPr="00E14773">
              <w:rPr>
                <w:rFonts w:ascii="標楷體" w:eastAsia="標楷體" w:hAnsi="標楷體" w:cs="DFMingMedium-B5"/>
                <w:color w:val="030403"/>
                <w:kern w:val="0"/>
                <w:sz w:val="28"/>
                <w:szCs w:val="28"/>
              </w:rPr>
              <w:t>司法</w:t>
            </w:r>
            <w:r w:rsidR="00164085" w:rsidRPr="00E14773">
              <w:rPr>
                <w:rFonts w:ascii="標楷體" w:eastAsia="標楷體" w:hAnsi="標楷體" w:cs="DFMingMedium-B5" w:hint="eastAsia"/>
                <w:color w:val="030403"/>
                <w:kern w:val="0"/>
                <w:sz w:val="28"/>
                <w:szCs w:val="28"/>
              </w:rPr>
              <w:t>（刑事、民事案件）</w:t>
            </w:r>
            <w:r w:rsidRPr="00E14773">
              <w:rPr>
                <w:rFonts w:ascii="標楷體" w:eastAsia="標楷體" w:hAnsi="標楷體" w:cs="DFMingMedium-B5"/>
                <w:color w:val="030403"/>
                <w:kern w:val="0"/>
                <w:sz w:val="28"/>
                <w:szCs w:val="28"/>
              </w:rPr>
              <w:t>鑑定</w:t>
            </w:r>
            <w:r w:rsidR="00E14773" w:rsidRPr="00E14773">
              <w:rPr>
                <w:rFonts w:ascii="標楷體" w:eastAsia="標楷體" w:hAnsi="標楷體" w:cs="DFMingMedium-B5" w:hint="eastAsia"/>
                <w:color w:val="030403"/>
                <w:kern w:val="0"/>
                <w:sz w:val="28"/>
                <w:szCs w:val="28"/>
              </w:rPr>
              <w:t>，</w:t>
            </w:r>
            <w:r w:rsidRPr="00E14773">
              <w:rPr>
                <w:rFonts w:ascii="標楷體" w:eastAsia="標楷體" w:hAnsi="標楷體" w:cs="DFMingMedium-B5"/>
                <w:color w:val="030403"/>
                <w:kern w:val="0"/>
                <w:sz w:val="28"/>
                <w:szCs w:val="28"/>
              </w:rPr>
              <w:t>須由法院</w:t>
            </w:r>
            <w:r w:rsidRPr="00E14773">
              <w:rPr>
                <w:rFonts w:ascii="標楷體" w:eastAsia="標楷體" w:hAnsi="標楷體" w:cs="DFMingMedium-B5" w:hint="eastAsia"/>
                <w:color w:val="030403"/>
                <w:kern w:val="0"/>
                <w:sz w:val="28"/>
                <w:szCs w:val="28"/>
              </w:rPr>
              <w:t>、地檢署</w:t>
            </w:r>
            <w:r w:rsidR="008B3813">
              <w:rPr>
                <w:rFonts w:ascii="標楷體" w:eastAsia="標楷體" w:hAnsi="標楷體" w:cs="DFMingMedium-B5" w:hint="eastAsia"/>
                <w:color w:val="030403"/>
                <w:kern w:val="0"/>
                <w:sz w:val="28"/>
                <w:szCs w:val="28"/>
              </w:rPr>
              <w:t>函請</w:t>
            </w:r>
            <w:r w:rsidR="00164085" w:rsidRPr="00E14773">
              <w:rPr>
                <w:rFonts w:ascii="標楷體" w:eastAsia="標楷體" w:hAnsi="標楷體" w:cs="DFMingMedium-B5" w:hint="eastAsia"/>
                <w:color w:val="030403"/>
                <w:kern w:val="0"/>
                <w:sz w:val="28"/>
                <w:szCs w:val="28"/>
              </w:rPr>
              <w:t>委託具公信力的精神醫療機構對當事人進行精神</w:t>
            </w:r>
            <w:r w:rsidR="008B3813">
              <w:rPr>
                <w:rFonts w:ascii="標楷體" w:eastAsia="標楷體" w:hAnsi="標楷體" w:cs="DFMingMedium-B5" w:hint="eastAsia"/>
                <w:color w:val="030403"/>
                <w:kern w:val="0"/>
                <w:sz w:val="28"/>
                <w:szCs w:val="28"/>
              </w:rPr>
              <w:t>司法</w:t>
            </w:r>
            <w:r w:rsidR="00164085" w:rsidRPr="00E14773">
              <w:rPr>
                <w:rFonts w:ascii="標楷體" w:eastAsia="標楷體" w:hAnsi="標楷體" w:cs="DFMingMedium-B5" w:hint="eastAsia"/>
                <w:color w:val="030403"/>
                <w:kern w:val="0"/>
                <w:sz w:val="28"/>
                <w:szCs w:val="28"/>
              </w:rPr>
              <w:t>鑑定</w:t>
            </w:r>
            <w:r w:rsidRPr="00E14773">
              <w:rPr>
                <w:rFonts w:ascii="標楷體" w:eastAsia="標楷體" w:hAnsi="標楷體" w:cs="DFMingMedium-B5" w:hint="eastAsia"/>
                <w:color w:val="030403"/>
                <w:kern w:val="0"/>
                <w:sz w:val="28"/>
                <w:szCs w:val="28"/>
              </w:rPr>
              <w:t>。</w:t>
            </w:r>
          </w:p>
          <w:p w:rsidR="00F64D0D" w:rsidRPr="00076E18" w:rsidRDefault="00F64D0D" w:rsidP="00076E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500" w:lineRule="exact"/>
              <w:ind w:leftChars="59" w:left="850" w:hangingChars="253" w:hanging="708"/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</w:pPr>
            <w:r w:rsidRPr="00076E18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刑法第一篇第十二章之保安處分，其目的為協助矯正他的</w:t>
            </w:r>
            <w:r w:rsidRPr="00076E18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lastRenderedPageBreak/>
              <w:t>行為，針對疾病產生精神耗弱或是判斷力減弱的社會安全問題，建議透過保安處分之監護處分、保護管束處理</w:t>
            </w:r>
            <w:r w:rsidR="00076E18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，</w:t>
            </w:r>
            <w:r w:rsidRPr="00076E18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可能比加重刑責來的有效益。</w:t>
            </w:r>
          </w:p>
          <w:p w:rsidR="006A6023" w:rsidRPr="00076E18" w:rsidRDefault="006A6023" w:rsidP="00131175">
            <w:pPr>
              <w:numPr>
                <w:ilvl w:val="0"/>
                <w:numId w:val="13"/>
              </w:numPr>
              <w:spacing w:line="500" w:lineRule="exact"/>
              <w:ind w:left="690" w:hanging="567"/>
              <w:jc w:val="both"/>
              <w:rPr>
                <w:rFonts w:ascii="標楷體" w:eastAsia="標楷體" w:hAnsi="標楷體"/>
                <w:sz w:val="28"/>
              </w:rPr>
            </w:pPr>
            <w:r w:rsidRPr="00076E18">
              <w:rPr>
                <w:rFonts w:ascii="標楷體" w:eastAsia="標楷體" w:hAnsi="標楷體" w:hint="eastAsia"/>
                <w:sz w:val="28"/>
              </w:rPr>
              <w:t>社區中有疑似精神病患該如何協助就醫？</w:t>
            </w:r>
          </w:p>
          <w:p w:rsidR="00697D15" w:rsidRPr="00697D15" w:rsidRDefault="006A6023" w:rsidP="006D3695">
            <w:pPr>
              <w:spacing w:line="500" w:lineRule="exact"/>
              <w:ind w:leftChars="-59" w:left="709" w:hangingChars="304" w:hanging="851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</w:t>
            </w:r>
            <w:r w:rsidRPr="008C71C5">
              <w:rPr>
                <w:rFonts w:ascii="標楷體" w:eastAsia="標楷體" w:hAnsi="標楷體" w:cs="DFMingMedium-B5" w:hint="eastAsia"/>
                <w:color w:val="030403"/>
                <w:kern w:val="0"/>
                <w:sz w:val="28"/>
                <w:szCs w:val="28"/>
              </w:rPr>
              <w:t>依據精神衛生法第32條規定:「警察機關或消防機關於執行職務時，發現病人或有第三條第一款所定狀態之人(指思考、情緒、知覺、認知、行為等精神狀態表現異常)有傷害他人或自己或有傷害之虞者，</w:t>
            </w:r>
            <w:r>
              <w:rPr>
                <w:rFonts w:ascii="標楷體" w:eastAsia="標楷體" w:hAnsi="標楷體" w:cs="DFMingMedium-B5" w:hint="eastAsia"/>
                <w:color w:val="030403"/>
                <w:kern w:val="0"/>
                <w:sz w:val="28"/>
                <w:szCs w:val="28"/>
              </w:rPr>
              <w:t>應即護送前往就近適當醫療院所就醫</w:t>
            </w:r>
            <w:r w:rsidRPr="008C71C5">
              <w:rPr>
                <w:rFonts w:ascii="標楷體" w:eastAsia="標楷體" w:hAnsi="標楷體" w:cs="DFMingMedium-B5" w:hint="eastAsia"/>
                <w:color w:val="030403"/>
                <w:kern w:val="0"/>
                <w:sz w:val="28"/>
                <w:szCs w:val="28"/>
              </w:rPr>
              <w:t>；若未符合精神衛生法第32條之要件，則與家屬共同勸導</w:t>
            </w:r>
            <w:r>
              <w:rPr>
                <w:rFonts w:ascii="標楷體" w:eastAsia="標楷體" w:hAnsi="標楷體" w:cs="DFMingMedium-B5" w:hint="eastAsia"/>
                <w:color w:val="030403"/>
                <w:kern w:val="0"/>
                <w:sz w:val="28"/>
                <w:szCs w:val="28"/>
              </w:rPr>
              <w:t>就</w:t>
            </w:r>
            <w:r w:rsidRPr="008C71C5">
              <w:rPr>
                <w:rFonts w:ascii="標楷體" w:eastAsia="標楷體" w:hAnsi="標楷體" w:cs="DFMingMedium-B5" w:hint="eastAsia"/>
                <w:color w:val="030403"/>
                <w:kern w:val="0"/>
                <w:sz w:val="28"/>
                <w:szCs w:val="28"/>
              </w:rPr>
              <w:t>醫；若非精神病患，為一般社會事件，則依司法程序處理。</w:t>
            </w:r>
          </w:p>
        </w:tc>
      </w:tr>
      <w:tr w:rsidR="006E2A50" w:rsidRPr="0071452A" w:rsidTr="00AB0041">
        <w:trPr>
          <w:trHeight w:val="605"/>
        </w:trPr>
        <w:tc>
          <w:tcPr>
            <w:tcW w:w="1509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E2A50" w:rsidRPr="0071452A" w:rsidRDefault="006E2A50" w:rsidP="00AB00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452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復文字號</w:t>
            </w:r>
          </w:p>
        </w:tc>
        <w:tc>
          <w:tcPr>
            <w:tcW w:w="7885" w:type="dxa"/>
            <w:gridSpan w:val="5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A50" w:rsidRPr="0071452A" w:rsidRDefault="00C71F7D" w:rsidP="003D137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高市府衛</w:t>
            </w:r>
            <w:r w:rsidRPr="00C71F7D">
              <w:rPr>
                <w:rFonts w:ascii="標楷體" w:eastAsia="標楷體" w:hAnsi="標楷體"/>
                <w:sz w:val="28"/>
                <w:szCs w:val="28"/>
              </w:rPr>
              <w:t>社</w:t>
            </w:r>
            <w:r w:rsidRPr="00C71F7D">
              <w:rPr>
                <w:rFonts w:ascii="標楷體" w:eastAsia="標楷體" w:hAnsi="標楷體" w:hint="eastAsia"/>
                <w:sz w:val="28"/>
                <w:szCs w:val="28"/>
              </w:rPr>
              <w:t>字</w:t>
            </w:r>
            <w:r w:rsidRPr="009C1F91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EC489F" w:rsidRPr="009C1F9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3D1371" w:rsidRPr="009C1F91">
              <w:rPr>
                <w:rFonts w:ascii="標楷體" w:eastAsia="標楷體" w:hAnsi="標楷體" w:hint="eastAsia"/>
                <w:sz w:val="28"/>
                <w:szCs w:val="28"/>
              </w:rPr>
              <w:t>600373900</w:t>
            </w:r>
            <w:r w:rsidR="00EC489F" w:rsidRPr="009C1F91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</w:tr>
    </w:tbl>
    <w:p w:rsidR="006E2A50" w:rsidRDefault="006E2A50">
      <w:bookmarkStart w:id="0" w:name="_GoBack"/>
      <w:bookmarkEnd w:id="0"/>
    </w:p>
    <w:sectPr w:rsidR="006E2A50" w:rsidSect="003569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247" w:rsidRDefault="00D51247" w:rsidP="00AF29A4">
      <w:r>
        <w:separator/>
      </w:r>
    </w:p>
  </w:endnote>
  <w:endnote w:type="continuationSeparator" w:id="0">
    <w:p w:rsidR="00D51247" w:rsidRDefault="00D51247" w:rsidP="00AF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DFMingMedium-B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247" w:rsidRDefault="00D51247" w:rsidP="00AF29A4">
      <w:r>
        <w:separator/>
      </w:r>
    </w:p>
  </w:footnote>
  <w:footnote w:type="continuationSeparator" w:id="0">
    <w:p w:rsidR="00D51247" w:rsidRDefault="00D51247" w:rsidP="00AF2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4B8D"/>
    <w:multiLevelType w:val="hybridMultilevel"/>
    <w:tmpl w:val="2DA8D2DC"/>
    <w:lvl w:ilvl="0" w:tplc="E6CCCF12">
      <w:start w:val="1"/>
      <w:numFmt w:val="taiwaneseCountingThousand"/>
      <w:lvlText w:val="%1、"/>
      <w:lvlJc w:val="left"/>
      <w:pPr>
        <w:ind w:left="1022" w:hanging="72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8A685D"/>
    <w:multiLevelType w:val="hybridMultilevel"/>
    <w:tmpl w:val="C1F0A7FE"/>
    <w:lvl w:ilvl="0" w:tplc="8A184C0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AA974FB"/>
    <w:multiLevelType w:val="hybridMultilevel"/>
    <w:tmpl w:val="475A97F8"/>
    <w:lvl w:ilvl="0" w:tplc="493860F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3369E3"/>
    <w:multiLevelType w:val="hybridMultilevel"/>
    <w:tmpl w:val="0980CAAA"/>
    <w:lvl w:ilvl="0" w:tplc="493860F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BF466C6"/>
    <w:multiLevelType w:val="hybridMultilevel"/>
    <w:tmpl w:val="31B09620"/>
    <w:lvl w:ilvl="0" w:tplc="6650997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7D4BB9"/>
    <w:multiLevelType w:val="hybridMultilevel"/>
    <w:tmpl w:val="DC7AEF84"/>
    <w:lvl w:ilvl="0" w:tplc="493860F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1C141DC"/>
    <w:multiLevelType w:val="hybridMultilevel"/>
    <w:tmpl w:val="0DB66804"/>
    <w:lvl w:ilvl="0" w:tplc="E6BC521A">
      <w:start w:val="1"/>
      <w:numFmt w:val="taiwaneseCountingThousand"/>
      <w:lvlText w:val="(%1)"/>
      <w:lvlJc w:val="left"/>
      <w:pPr>
        <w:ind w:left="636" w:hanging="63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358554A"/>
    <w:multiLevelType w:val="hybridMultilevel"/>
    <w:tmpl w:val="3BAC9128"/>
    <w:lvl w:ilvl="0" w:tplc="CD247E2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68E0766"/>
    <w:multiLevelType w:val="hybridMultilevel"/>
    <w:tmpl w:val="FE9C7180"/>
    <w:lvl w:ilvl="0" w:tplc="6650997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01F720C"/>
    <w:multiLevelType w:val="hybridMultilevel"/>
    <w:tmpl w:val="1EFCF2C2"/>
    <w:lvl w:ilvl="0" w:tplc="E6BC521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53A34C36"/>
    <w:multiLevelType w:val="hybridMultilevel"/>
    <w:tmpl w:val="F4CA8810"/>
    <w:lvl w:ilvl="0" w:tplc="3A625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594D39A5"/>
    <w:multiLevelType w:val="hybridMultilevel"/>
    <w:tmpl w:val="6D527F88"/>
    <w:lvl w:ilvl="0" w:tplc="940C1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C91E3A"/>
    <w:multiLevelType w:val="hybridMultilevel"/>
    <w:tmpl w:val="C414EBF2"/>
    <w:lvl w:ilvl="0" w:tplc="5A829646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C7337DA"/>
    <w:multiLevelType w:val="hybridMultilevel"/>
    <w:tmpl w:val="96C6B370"/>
    <w:lvl w:ilvl="0" w:tplc="A3CA09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8D73504"/>
    <w:multiLevelType w:val="hybridMultilevel"/>
    <w:tmpl w:val="96C6B370"/>
    <w:lvl w:ilvl="0" w:tplc="A3CA09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B2624D3"/>
    <w:multiLevelType w:val="hybridMultilevel"/>
    <w:tmpl w:val="820EBBDA"/>
    <w:lvl w:ilvl="0" w:tplc="056447B2">
      <w:start w:val="4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ascii="標楷體" w:eastAsia="標楷體" w:hAnsi="標楷體" w:cs="Times New Roman" w:hint="default"/>
        <w:b/>
        <w:bCs/>
        <w:sz w:val="4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7BEB4309"/>
    <w:multiLevelType w:val="hybridMultilevel"/>
    <w:tmpl w:val="C0C626FE"/>
    <w:lvl w:ilvl="0" w:tplc="493860F0">
      <w:start w:val="1"/>
      <w:numFmt w:val="taiwaneseCountingThousand"/>
      <w:lvlText w:val="%1、"/>
      <w:lvlJc w:val="left"/>
      <w:pPr>
        <w:ind w:left="586" w:hanging="636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10" w:hanging="480"/>
      </w:pPr>
    </w:lvl>
    <w:lvl w:ilvl="2" w:tplc="0409001B" w:tentative="1">
      <w:start w:val="1"/>
      <w:numFmt w:val="lowerRoman"/>
      <w:lvlText w:val="%3."/>
      <w:lvlJc w:val="right"/>
      <w:pPr>
        <w:ind w:left="1390" w:hanging="480"/>
      </w:pPr>
    </w:lvl>
    <w:lvl w:ilvl="3" w:tplc="0409000F" w:tentative="1">
      <w:start w:val="1"/>
      <w:numFmt w:val="decimal"/>
      <w:lvlText w:val="%4."/>
      <w:lvlJc w:val="left"/>
      <w:pPr>
        <w:ind w:left="1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0" w:hanging="480"/>
      </w:pPr>
    </w:lvl>
    <w:lvl w:ilvl="5" w:tplc="0409001B" w:tentative="1">
      <w:start w:val="1"/>
      <w:numFmt w:val="lowerRoman"/>
      <w:lvlText w:val="%6."/>
      <w:lvlJc w:val="right"/>
      <w:pPr>
        <w:ind w:left="2830" w:hanging="480"/>
      </w:pPr>
    </w:lvl>
    <w:lvl w:ilvl="6" w:tplc="0409000F" w:tentative="1">
      <w:start w:val="1"/>
      <w:numFmt w:val="decimal"/>
      <w:lvlText w:val="%7."/>
      <w:lvlJc w:val="left"/>
      <w:pPr>
        <w:ind w:left="3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0" w:hanging="480"/>
      </w:pPr>
    </w:lvl>
    <w:lvl w:ilvl="8" w:tplc="0409001B" w:tentative="1">
      <w:start w:val="1"/>
      <w:numFmt w:val="lowerRoman"/>
      <w:lvlText w:val="%9."/>
      <w:lvlJc w:val="right"/>
      <w:pPr>
        <w:ind w:left="4270" w:hanging="480"/>
      </w:pPr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6"/>
  </w:num>
  <w:num w:numId="7">
    <w:abstractNumId w:val="16"/>
  </w:num>
  <w:num w:numId="8">
    <w:abstractNumId w:val="3"/>
  </w:num>
  <w:num w:numId="9">
    <w:abstractNumId w:val="2"/>
  </w:num>
  <w:num w:numId="10">
    <w:abstractNumId w:val="8"/>
  </w:num>
  <w:num w:numId="11">
    <w:abstractNumId w:val="4"/>
  </w:num>
  <w:num w:numId="12">
    <w:abstractNumId w:val="9"/>
  </w:num>
  <w:num w:numId="13">
    <w:abstractNumId w:val="0"/>
  </w:num>
  <w:num w:numId="14">
    <w:abstractNumId w:val="14"/>
  </w:num>
  <w:num w:numId="15">
    <w:abstractNumId w:val="13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2CD1"/>
    <w:rsid w:val="000073A3"/>
    <w:rsid w:val="00045C9C"/>
    <w:rsid w:val="00076E18"/>
    <w:rsid w:val="00085B63"/>
    <w:rsid w:val="000B28EB"/>
    <w:rsid w:val="000D4A5D"/>
    <w:rsid w:val="000F3CA2"/>
    <w:rsid w:val="00100AE8"/>
    <w:rsid w:val="00104A4E"/>
    <w:rsid w:val="00127424"/>
    <w:rsid w:val="00131175"/>
    <w:rsid w:val="001311D6"/>
    <w:rsid w:val="00143A40"/>
    <w:rsid w:val="00164085"/>
    <w:rsid w:val="001C045D"/>
    <w:rsid w:val="001C5E56"/>
    <w:rsid w:val="002542F9"/>
    <w:rsid w:val="00273A6A"/>
    <w:rsid w:val="002E096E"/>
    <w:rsid w:val="002E402B"/>
    <w:rsid w:val="002F633C"/>
    <w:rsid w:val="00341E68"/>
    <w:rsid w:val="00347D0B"/>
    <w:rsid w:val="0035690C"/>
    <w:rsid w:val="00396AA7"/>
    <w:rsid w:val="003D1371"/>
    <w:rsid w:val="003D360E"/>
    <w:rsid w:val="004510A3"/>
    <w:rsid w:val="004C74D2"/>
    <w:rsid w:val="00545162"/>
    <w:rsid w:val="00563ECB"/>
    <w:rsid w:val="00571FE9"/>
    <w:rsid w:val="00576FD0"/>
    <w:rsid w:val="00582AE1"/>
    <w:rsid w:val="00586BAF"/>
    <w:rsid w:val="00604E01"/>
    <w:rsid w:val="00615E33"/>
    <w:rsid w:val="00674DA3"/>
    <w:rsid w:val="00697D15"/>
    <w:rsid w:val="006A19B0"/>
    <w:rsid w:val="006A6023"/>
    <w:rsid w:val="006A7952"/>
    <w:rsid w:val="006D3695"/>
    <w:rsid w:val="006E2A50"/>
    <w:rsid w:val="006F7645"/>
    <w:rsid w:val="0071452A"/>
    <w:rsid w:val="00743B5E"/>
    <w:rsid w:val="007D4377"/>
    <w:rsid w:val="008301D2"/>
    <w:rsid w:val="0084605F"/>
    <w:rsid w:val="008B3813"/>
    <w:rsid w:val="008C00D0"/>
    <w:rsid w:val="008E473B"/>
    <w:rsid w:val="008E575E"/>
    <w:rsid w:val="00923758"/>
    <w:rsid w:val="009475CC"/>
    <w:rsid w:val="0095312A"/>
    <w:rsid w:val="009675DE"/>
    <w:rsid w:val="009A058B"/>
    <w:rsid w:val="009C1F91"/>
    <w:rsid w:val="009D498F"/>
    <w:rsid w:val="009F081E"/>
    <w:rsid w:val="00A14BF7"/>
    <w:rsid w:val="00A15A66"/>
    <w:rsid w:val="00A86ED5"/>
    <w:rsid w:val="00AA6D9E"/>
    <w:rsid w:val="00AB0041"/>
    <w:rsid w:val="00AE1A23"/>
    <w:rsid w:val="00AF29A4"/>
    <w:rsid w:val="00B061AD"/>
    <w:rsid w:val="00B57E9F"/>
    <w:rsid w:val="00B62CD1"/>
    <w:rsid w:val="00B81241"/>
    <w:rsid w:val="00BB0197"/>
    <w:rsid w:val="00BB535C"/>
    <w:rsid w:val="00BB6C0F"/>
    <w:rsid w:val="00BC435C"/>
    <w:rsid w:val="00BE1965"/>
    <w:rsid w:val="00C266AE"/>
    <w:rsid w:val="00C403C3"/>
    <w:rsid w:val="00C41550"/>
    <w:rsid w:val="00C4202F"/>
    <w:rsid w:val="00C51694"/>
    <w:rsid w:val="00C71F7D"/>
    <w:rsid w:val="00C82FD7"/>
    <w:rsid w:val="00C84A25"/>
    <w:rsid w:val="00D311D4"/>
    <w:rsid w:val="00D34972"/>
    <w:rsid w:val="00D51247"/>
    <w:rsid w:val="00D75DD3"/>
    <w:rsid w:val="00D92EA3"/>
    <w:rsid w:val="00DB6DCD"/>
    <w:rsid w:val="00DC1210"/>
    <w:rsid w:val="00DF15BB"/>
    <w:rsid w:val="00E14773"/>
    <w:rsid w:val="00E243B8"/>
    <w:rsid w:val="00E363A3"/>
    <w:rsid w:val="00EC489F"/>
    <w:rsid w:val="00EE1ECE"/>
    <w:rsid w:val="00EE2DB1"/>
    <w:rsid w:val="00EF6527"/>
    <w:rsid w:val="00F21675"/>
    <w:rsid w:val="00F5298A"/>
    <w:rsid w:val="00F6075E"/>
    <w:rsid w:val="00F63B14"/>
    <w:rsid w:val="00F64D0D"/>
    <w:rsid w:val="00F77AA0"/>
    <w:rsid w:val="00F8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D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62CD1"/>
    <w:pPr>
      <w:spacing w:line="400" w:lineRule="exact"/>
    </w:pPr>
    <w:rPr>
      <w:sz w:val="32"/>
    </w:rPr>
  </w:style>
  <w:style w:type="character" w:customStyle="1" w:styleId="a4">
    <w:name w:val="本文 字元"/>
    <w:link w:val="a3"/>
    <w:uiPriority w:val="99"/>
    <w:locked/>
    <w:rsid w:val="00B62CD1"/>
    <w:rPr>
      <w:rFonts w:ascii="Times New Roman" w:eastAsia="新細明體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62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B62CD1"/>
    <w:rPr>
      <w:rFonts w:ascii="Times New Roman" w:eastAsia="新細明體" w:hAnsi="Times New Roman" w:cs="Times New Roman"/>
      <w:sz w:val="20"/>
      <w:szCs w:val="20"/>
    </w:rPr>
  </w:style>
  <w:style w:type="paragraph" w:customStyle="1" w:styleId="a7">
    <w:name w:val="主旨"/>
    <w:basedOn w:val="a"/>
    <w:uiPriority w:val="99"/>
    <w:rsid w:val="00B62CD1"/>
    <w:pPr>
      <w:wordWrap w:val="0"/>
      <w:snapToGrid w:val="0"/>
      <w:ind w:left="567" w:hanging="567"/>
    </w:pPr>
    <w:rPr>
      <w:rFonts w:eastAsia="標楷體"/>
      <w:sz w:val="32"/>
      <w:szCs w:val="20"/>
    </w:rPr>
  </w:style>
  <w:style w:type="paragraph" w:customStyle="1" w:styleId="a8">
    <w:name w:val="受文機關"/>
    <w:basedOn w:val="a"/>
    <w:uiPriority w:val="99"/>
    <w:rsid w:val="00B62CD1"/>
    <w:pPr>
      <w:snapToGrid w:val="0"/>
    </w:pPr>
    <w:rPr>
      <w:rFonts w:eastAsia="標楷體"/>
      <w:sz w:val="36"/>
      <w:szCs w:val="20"/>
    </w:rPr>
  </w:style>
  <w:style w:type="paragraph" w:customStyle="1" w:styleId="a9">
    <w:name w:val="發文速別"/>
    <w:basedOn w:val="a"/>
    <w:uiPriority w:val="99"/>
    <w:rsid w:val="00B62CD1"/>
    <w:pPr>
      <w:snapToGrid w:val="0"/>
    </w:pPr>
    <w:rPr>
      <w:rFonts w:eastAsia="標楷體"/>
      <w:sz w:val="28"/>
      <w:szCs w:val="20"/>
    </w:rPr>
  </w:style>
  <w:style w:type="paragraph" w:customStyle="1" w:styleId="aa">
    <w:name w:val="發文密等"/>
    <w:basedOn w:val="a"/>
    <w:uiPriority w:val="99"/>
    <w:rsid w:val="00B62CD1"/>
    <w:pPr>
      <w:snapToGrid w:val="0"/>
    </w:pPr>
    <w:rPr>
      <w:rFonts w:eastAsia="標楷體"/>
      <w:sz w:val="28"/>
      <w:szCs w:val="20"/>
    </w:rPr>
  </w:style>
  <w:style w:type="paragraph" w:customStyle="1" w:styleId="ab">
    <w:name w:val="發文日期"/>
    <w:basedOn w:val="a"/>
    <w:uiPriority w:val="99"/>
    <w:rsid w:val="00B62CD1"/>
    <w:pPr>
      <w:snapToGrid w:val="0"/>
    </w:pPr>
    <w:rPr>
      <w:rFonts w:eastAsia="標楷體"/>
      <w:sz w:val="28"/>
      <w:szCs w:val="20"/>
    </w:rPr>
  </w:style>
  <w:style w:type="paragraph" w:customStyle="1" w:styleId="ac">
    <w:name w:val="發文字號"/>
    <w:basedOn w:val="a"/>
    <w:uiPriority w:val="99"/>
    <w:rsid w:val="00B62CD1"/>
    <w:pPr>
      <w:snapToGrid w:val="0"/>
    </w:pPr>
    <w:rPr>
      <w:rFonts w:eastAsia="標楷體"/>
      <w:sz w:val="28"/>
      <w:szCs w:val="20"/>
    </w:rPr>
  </w:style>
  <w:style w:type="paragraph" w:customStyle="1" w:styleId="ad">
    <w:name w:val="行文單位正本"/>
    <w:basedOn w:val="a"/>
    <w:uiPriority w:val="99"/>
    <w:rsid w:val="00B62CD1"/>
    <w:pPr>
      <w:snapToGrid w:val="0"/>
      <w:ind w:left="851" w:hanging="851"/>
    </w:pPr>
    <w:rPr>
      <w:rFonts w:eastAsia="標楷體"/>
      <w:sz w:val="28"/>
      <w:szCs w:val="20"/>
    </w:rPr>
  </w:style>
  <w:style w:type="paragraph" w:customStyle="1" w:styleId="ae">
    <w:name w:val="說明"/>
    <w:basedOn w:val="a7"/>
    <w:uiPriority w:val="99"/>
    <w:rsid w:val="00B62CD1"/>
  </w:style>
  <w:style w:type="paragraph" w:customStyle="1" w:styleId="af">
    <w:name w:val="行文單位副本"/>
    <w:basedOn w:val="ad"/>
    <w:uiPriority w:val="99"/>
    <w:rsid w:val="00B62CD1"/>
  </w:style>
  <w:style w:type="paragraph" w:customStyle="1" w:styleId="af0">
    <w:name w:val="傳真"/>
    <w:basedOn w:val="a"/>
    <w:uiPriority w:val="99"/>
    <w:rsid w:val="00B62CD1"/>
    <w:rPr>
      <w:rFonts w:eastAsia="標楷體"/>
      <w:szCs w:val="20"/>
    </w:rPr>
  </w:style>
  <w:style w:type="paragraph" w:customStyle="1" w:styleId="af1">
    <w:name w:val="首長"/>
    <w:basedOn w:val="a"/>
    <w:uiPriority w:val="99"/>
    <w:rsid w:val="00B62CD1"/>
    <w:rPr>
      <w:rFonts w:eastAsia="標楷體"/>
      <w:szCs w:val="20"/>
    </w:rPr>
  </w:style>
  <w:style w:type="paragraph" w:customStyle="1" w:styleId="af2">
    <w:name w:val="一"/>
    <w:basedOn w:val="a"/>
    <w:uiPriority w:val="99"/>
    <w:rsid w:val="00B62CD1"/>
    <w:pPr>
      <w:adjustRightInd w:val="0"/>
      <w:snapToGrid w:val="0"/>
      <w:spacing w:line="408" w:lineRule="exact"/>
      <w:ind w:left="624" w:right="57" w:hanging="567"/>
      <w:jc w:val="both"/>
    </w:pPr>
    <w:rPr>
      <w:rFonts w:ascii="標楷體" w:eastAsia="標楷體"/>
      <w:sz w:val="28"/>
    </w:rPr>
  </w:style>
  <w:style w:type="paragraph" w:styleId="af3">
    <w:name w:val="header"/>
    <w:basedOn w:val="a"/>
    <w:link w:val="af4"/>
    <w:uiPriority w:val="99"/>
    <w:unhideWhenUsed/>
    <w:rsid w:val="00AF29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link w:val="af3"/>
    <w:uiPriority w:val="99"/>
    <w:rsid w:val="00AF29A4"/>
    <w:rPr>
      <w:rFonts w:ascii="Times New Roman" w:hAnsi="Times New Roman"/>
      <w:sz w:val="20"/>
      <w:szCs w:val="20"/>
    </w:rPr>
  </w:style>
  <w:style w:type="character" w:customStyle="1" w:styleId="dialogtext1">
    <w:name w:val="dialog_text1"/>
    <w:rsid w:val="00C71F7D"/>
    <w:rPr>
      <w:rFonts w:ascii="sөũ" w:hAnsi="sөũ" w:hint="default"/>
      <w:color w:val="000000"/>
      <w:sz w:val="24"/>
      <w:szCs w:val="24"/>
    </w:rPr>
  </w:style>
  <w:style w:type="paragraph" w:customStyle="1" w:styleId="1">
    <w:name w:val="清單段落1"/>
    <w:basedOn w:val="a"/>
    <w:link w:val="ListParagraphChar"/>
    <w:rsid w:val="006A19B0"/>
    <w:pPr>
      <w:ind w:leftChars="200" w:left="480"/>
    </w:pPr>
    <w:rPr>
      <w:rFonts w:ascii="Calibri" w:hAnsi="Calibri"/>
      <w:szCs w:val="22"/>
    </w:rPr>
  </w:style>
  <w:style w:type="character" w:customStyle="1" w:styleId="ListParagraphChar">
    <w:name w:val="List Paragraph Char"/>
    <w:link w:val="1"/>
    <w:locked/>
    <w:rsid w:val="006A19B0"/>
    <w:rPr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2017-01-19T00:56:00Z</cp:lastPrinted>
  <dcterms:created xsi:type="dcterms:W3CDTF">2017-01-19T08:11:00Z</dcterms:created>
  <dcterms:modified xsi:type="dcterms:W3CDTF">2017-01-23T05:49:00Z</dcterms:modified>
</cp:coreProperties>
</file>