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ook w:val="04A0" w:firstRow="1" w:lastRow="0" w:firstColumn="1" w:lastColumn="0" w:noHBand="0" w:noVBand="1"/>
      </w:tblPr>
      <w:tblGrid>
        <w:gridCol w:w="4408"/>
        <w:gridCol w:w="4369"/>
      </w:tblGrid>
      <w:tr w:rsidR="00A41230" w:rsidRPr="00BA691F" w:rsidTr="000A7D66">
        <w:tc>
          <w:tcPr>
            <w:tcW w:w="9911" w:type="dxa"/>
            <w:gridSpan w:val="2"/>
          </w:tcPr>
          <w:p w:rsidR="00A41230" w:rsidRPr="00BA691F" w:rsidRDefault="00A41230" w:rsidP="00900BDB">
            <w:pPr>
              <w:spacing w:line="400" w:lineRule="exact"/>
              <w:jc w:val="center"/>
            </w:pPr>
            <w:bookmarkStart w:id="0" w:name="_Hlk37151110"/>
            <w:r w:rsidRPr="00BA691F">
              <w:rPr>
                <w:rFonts w:ascii="標楷體" w:eastAsia="標楷體" w:hAnsi="標楷體" w:hint="eastAsia"/>
                <w:sz w:val="32"/>
                <w:szCs w:val="32"/>
              </w:rPr>
              <w:t>高雄市客家事務財團法人會計處理及財務報告編製準則</w:t>
            </w:r>
            <w:bookmarkStart w:id="1" w:name="_GoBack"/>
            <w:bookmarkEnd w:id="0"/>
            <w:bookmarkEnd w:id="1"/>
            <w:r w:rsidRPr="00BA691F">
              <w:rPr>
                <w:rFonts w:ascii="標楷體" w:eastAsia="標楷體" w:hAnsi="標楷體" w:hint="eastAsia"/>
                <w:sz w:val="32"/>
                <w:szCs w:val="32"/>
              </w:rPr>
              <w:t>條文對照表</w:t>
            </w:r>
          </w:p>
        </w:tc>
      </w:tr>
      <w:tr w:rsidR="00A41230" w:rsidRPr="00BA691F" w:rsidTr="000A7D66">
        <w:tc>
          <w:tcPr>
            <w:tcW w:w="4955" w:type="dxa"/>
          </w:tcPr>
          <w:p w:rsidR="00A41230" w:rsidRPr="00BA691F" w:rsidRDefault="00A41230" w:rsidP="000A7D66">
            <w:pPr>
              <w:spacing w:line="400" w:lineRule="exact"/>
              <w:jc w:val="distribute"/>
            </w:pPr>
            <w:r w:rsidRPr="00BA691F">
              <w:rPr>
                <w:rFonts w:ascii="標楷體" w:eastAsia="標楷體" w:hAnsi="標楷體" w:hint="eastAsia"/>
              </w:rPr>
              <w:t>條文</w:t>
            </w:r>
          </w:p>
        </w:tc>
        <w:tc>
          <w:tcPr>
            <w:tcW w:w="4956" w:type="dxa"/>
          </w:tcPr>
          <w:p w:rsidR="00A41230" w:rsidRPr="00BA691F" w:rsidRDefault="00A41230" w:rsidP="000A7D66">
            <w:pPr>
              <w:spacing w:line="400" w:lineRule="exact"/>
              <w:jc w:val="distribute"/>
            </w:pPr>
            <w:r w:rsidRPr="00BA691F">
              <w:rPr>
                <w:rFonts w:ascii="標楷體" w:eastAsia="標楷體" w:hAnsi="標楷體" w:hint="eastAsia"/>
              </w:rPr>
              <w:t>說明</w:t>
            </w:r>
          </w:p>
        </w:tc>
      </w:tr>
      <w:tr w:rsidR="00A41230" w:rsidRPr="00BA691F" w:rsidTr="000A7D66">
        <w:tc>
          <w:tcPr>
            <w:tcW w:w="4955" w:type="dxa"/>
          </w:tcPr>
          <w:p w:rsidR="00A41230" w:rsidRPr="00BA691F" w:rsidRDefault="00A41230" w:rsidP="000A7D66">
            <w:pPr>
              <w:spacing w:line="400" w:lineRule="exact"/>
              <w:ind w:left="240" w:hangingChars="100" w:hanging="240"/>
              <w:jc w:val="both"/>
            </w:pPr>
            <w:r w:rsidRPr="00BA691F">
              <w:rPr>
                <w:rFonts w:ascii="標楷體" w:eastAsia="標楷體" w:cs="標楷體" w:hint="eastAsia"/>
                <w:kern w:val="0"/>
                <w:lang w:eastAsia="zh-HK"/>
              </w:rPr>
              <w:t>法規名稱：高雄市</w:t>
            </w:r>
            <w:r w:rsidRPr="00BA691F">
              <w:rPr>
                <w:rFonts w:ascii="標楷體" w:eastAsia="標楷體" w:cs="標楷體" w:hint="eastAsia"/>
                <w:color w:val="000000" w:themeColor="text1"/>
                <w:kern w:val="0"/>
              </w:rPr>
              <w:t>客家</w:t>
            </w:r>
            <w:r w:rsidRPr="00BA691F">
              <w:rPr>
                <w:rFonts w:ascii="標楷體" w:eastAsia="標楷體" w:cs="標楷體" w:hint="eastAsia"/>
                <w:kern w:val="0"/>
                <w:lang w:eastAsia="zh-HK"/>
              </w:rPr>
              <w:t>事務財團法人會計處理及財務報告編製準則</w:t>
            </w:r>
          </w:p>
        </w:tc>
        <w:tc>
          <w:tcPr>
            <w:tcW w:w="4956" w:type="dxa"/>
          </w:tcPr>
          <w:p w:rsidR="00A41230" w:rsidRPr="00BA691F" w:rsidRDefault="00A41230" w:rsidP="000A7D66">
            <w:pPr>
              <w:spacing w:line="400" w:lineRule="exact"/>
            </w:pPr>
            <w:r w:rsidRPr="00BA691F">
              <w:rPr>
                <w:rFonts w:ascii="標楷體" w:eastAsia="標楷體" w:cs="標楷體" w:hint="eastAsia"/>
                <w:kern w:val="0"/>
              </w:rPr>
              <w:t>法規</w:t>
            </w:r>
            <w:r w:rsidRPr="00BA691F">
              <w:rPr>
                <w:rFonts w:ascii="標楷體" w:eastAsia="標楷體" w:cs="標楷體" w:hint="eastAsia"/>
                <w:kern w:val="0"/>
                <w:lang w:eastAsia="zh-HK"/>
              </w:rPr>
              <w:t>名稱。</w:t>
            </w:r>
          </w:p>
        </w:tc>
      </w:tr>
      <w:tr w:rsidR="00A41230" w:rsidRPr="00BA691F" w:rsidTr="000A7D66">
        <w:tc>
          <w:tcPr>
            <w:tcW w:w="4955" w:type="dxa"/>
          </w:tcPr>
          <w:p w:rsidR="00A41230" w:rsidRPr="00BA691F" w:rsidRDefault="00A41230" w:rsidP="000A7D66">
            <w:pPr>
              <w:spacing w:line="400" w:lineRule="exact"/>
            </w:pPr>
            <w:r w:rsidRPr="00BA691F">
              <w:rPr>
                <w:rFonts w:ascii="標楷體" w:eastAsia="標楷體" w:cs="標楷體" w:hint="eastAsia"/>
                <w:kern w:val="0"/>
              </w:rPr>
              <w:t>第一章　總則</w:t>
            </w:r>
          </w:p>
        </w:tc>
        <w:tc>
          <w:tcPr>
            <w:tcW w:w="4956" w:type="dxa"/>
          </w:tcPr>
          <w:p w:rsidR="00A41230" w:rsidRPr="00BA691F" w:rsidRDefault="00A41230" w:rsidP="000A7D66">
            <w:pPr>
              <w:spacing w:line="400" w:lineRule="exact"/>
            </w:pPr>
            <w:r w:rsidRPr="00BA691F">
              <w:rPr>
                <w:rFonts w:ascii="標楷體" w:eastAsia="標楷體" w:cs="標楷體" w:hint="eastAsia"/>
                <w:kern w:val="0"/>
              </w:rPr>
              <w:t>章名</w:t>
            </w:r>
          </w:p>
        </w:tc>
      </w:tr>
      <w:tr w:rsidR="00A41230" w:rsidRPr="00BA691F" w:rsidTr="000A7D66">
        <w:tc>
          <w:tcPr>
            <w:tcW w:w="4955" w:type="dxa"/>
          </w:tcPr>
          <w:p w:rsidR="00A41230" w:rsidRPr="00BA691F" w:rsidRDefault="00A41230" w:rsidP="000A7D66">
            <w:pPr>
              <w:spacing w:line="400" w:lineRule="exact"/>
              <w:ind w:left="240" w:hangingChars="100" w:hanging="240"/>
              <w:jc w:val="both"/>
            </w:pPr>
            <w:r w:rsidRPr="00BA691F">
              <w:rPr>
                <w:rFonts w:ascii="標楷體" w:eastAsia="標楷體" w:cs="標楷體" w:hint="eastAsia"/>
                <w:kern w:val="0"/>
              </w:rPr>
              <w:t>第一條　為規範本市</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事務財團法人(以下簡稱</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財團法人)會計事務之處理及財務報告之編製，以健全其運作，並依財團法人法第二十四條第四項規定訂定本準則。</w:t>
            </w:r>
          </w:p>
        </w:tc>
        <w:tc>
          <w:tcPr>
            <w:tcW w:w="4956" w:type="dxa"/>
          </w:tcPr>
          <w:p w:rsidR="00A41230" w:rsidRPr="00BA691F" w:rsidRDefault="00A41230" w:rsidP="000A7D66">
            <w:pPr>
              <w:spacing w:line="400" w:lineRule="exact"/>
            </w:pPr>
            <w:r w:rsidRPr="00BA691F">
              <w:rPr>
                <w:rFonts w:ascii="標楷體" w:eastAsia="標楷體" w:cs="標楷體" w:hint="eastAsia"/>
                <w:kern w:val="0"/>
              </w:rPr>
              <w:t>本準則之訂定目的及依據。</w:t>
            </w:r>
          </w:p>
        </w:tc>
      </w:tr>
      <w:tr w:rsidR="00A41230" w:rsidRPr="00BA691F" w:rsidTr="000A7D66">
        <w:tc>
          <w:tcPr>
            <w:tcW w:w="4955" w:type="dxa"/>
          </w:tcPr>
          <w:p w:rsidR="00A41230" w:rsidRPr="00BA691F" w:rsidRDefault="00A41230" w:rsidP="000A7D66">
            <w:pPr>
              <w:spacing w:line="400" w:lineRule="exact"/>
              <w:ind w:left="240" w:hangingChars="100" w:hanging="240"/>
              <w:jc w:val="both"/>
            </w:pPr>
            <w:r w:rsidRPr="00BA691F">
              <w:rPr>
                <w:rFonts w:ascii="標楷體" w:eastAsia="標楷體" w:cs="標楷體" w:hint="eastAsia"/>
                <w:kern w:val="0"/>
              </w:rPr>
              <w:t xml:space="preserve">第二條  </w:t>
            </w:r>
            <w:r w:rsidRPr="00BA691F">
              <w:rPr>
                <w:rFonts w:ascii="標楷體" w:eastAsia="標楷體" w:hAnsi="標楷體"/>
              </w:rPr>
              <w:t>本準則之主管機關為本府</w:t>
            </w:r>
            <w:r w:rsidRPr="00BA691F">
              <w:rPr>
                <w:rFonts w:ascii="標楷體" w:eastAsia="標楷體" w:hAnsi="標楷體" w:hint="eastAsia"/>
              </w:rPr>
              <w:t>客家事務委員會</w:t>
            </w:r>
            <w:r w:rsidRPr="00BA691F">
              <w:rPr>
                <w:rFonts w:ascii="標楷體" w:eastAsia="標楷體" w:hAnsi="標楷體"/>
              </w:rPr>
              <w:t>。</w:t>
            </w:r>
          </w:p>
        </w:tc>
        <w:tc>
          <w:tcPr>
            <w:tcW w:w="4956" w:type="dxa"/>
          </w:tcPr>
          <w:p w:rsidR="00A41230" w:rsidRPr="00BA691F" w:rsidRDefault="00A41230" w:rsidP="000A7D66">
            <w:pPr>
              <w:spacing w:line="400" w:lineRule="exact"/>
            </w:pPr>
            <w:r w:rsidRPr="00BA691F">
              <w:rPr>
                <w:rFonts w:ascii="標楷體" w:eastAsia="標楷體" w:cs="標楷體" w:hint="eastAsia"/>
                <w:kern w:val="0"/>
              </w:rPr>
              <w:t>本準則之主管機關。</w:t>
            </w:r>
          </w:p>
        </w:tc>
      </w:tr>
      <w:tr w:rsidR="00A41230" w:rsidRPr="00BA691F" w:rsidTr="000A7D66">
        <w:tc>
          <w:tcPr>
            <w:tcW w:w="4955" w:type="dxa"/>
          </w:tcPr>
          <w:p w:rsidR="00A41230" w:rsidRPr="00BA691F" w:rsidRDefault="00A41230" w:rsidP="000A7D66">
            <w:pPr>
              <w:spacing w:line="400" w:lineRule="exact"/>
              <w:ind w:left="240" w:hangingChars="100" w:hanging="240"/>
              <w:jc w:val="both"/>
            </w:pPr>
            <w:r w:rsidRPr="00BA691F">
              <w:rPr>
                <w:rFonts w:ascii="標楷體" w:eastAsia="標楷體" w:cs="標楷體" w:hint="eastAsia"/>
                <w:kern w:val="0"/>
              </w:rPr>
              <w:t xml:space="preserve">第三條  </w:t>
            </w:r>
            <w:r w:rsidRPr="00BA691F">
              <w:rPr>
                <w:rFonts w:ascii="標楷體" w:eastAsia="標楷體" w:hAnsi="標楷體"/>
              </w:rPr>
              <w:t>本準則適用對象，為經主管機關許可設立，而以從事</w:t>
            </w:r>
            <w:r w:rsidRPr="00BA691F">
              <w:rPr>
                <w:rFonts w:ascii="標楷體" w:eastAsia="標楷體" w:hAnsi="標楷體" w:hint="eastAsia"/>
                <w:color w:val="000000" w:themeColor="text1"/>
              </w:rPr>
              <w:t>客家事務</w:t>
            </w:r>
            <w:r w:rsidRPr="00BA691F">
              <w:rPr>
                <w:rFonts w:ascii="標楷體" w:eastAsia="標楷體" w:hAnsi="標楷體"/>
              </w:rPr>
              <w:t>公益為目的之</w:t>
            </w:r>
            <w:r w:rsidRPr="00BA691F">
              <w:rPr>
                <w:rFonts w:ascii="標楷體" w:eastAsia="標楷體" w:hAnsi="標楷體" w:hint="eastAsia"/>
                <w:color w:val="000000" w:themeColor="text1"/>
              </w:rPr>
              <w:t>客家</w:t>
            </w:r>
            <w:r w:rsidRPr="00BA691F">
              <w:rPr>
                <w:rFonts w:ascii="標楷體" w:eastAsia="標楷體" w:hAnsi="標楷體"/>
              </w:rPr>
              <w:t>財團法人。</w:t>
            </w:r>
          </w:p>
        </w:tc>
        <w:tc>
          <w:tcPr>
            <w:tcW w:w="4956" w:type="dxa"/>
          </w:tcPr>
          <w:p w:rsidR="00A41230" w:rsidRPr="00BA691F" w:rsidRDefault="00A41230" w:rsidP="000A7D66">
            <w:pPr>
              <w:spacing w:line="400" w:lineRule="exact"/>
            </w:pPr>
            <w:r w:rsidRPr="00BA691F">
              <w:rPr>
                <w:rFonts w:ascii="標楷體" w:eastAsia="標楷體" w:cs="標楷體" w:hint="eastAsia"/>
                <w:kern w:val="0"/>
              </w:rPr>
              <w:t>本準則之</w:t>
            </w:r>
            <w:r w:rsidRPr="00BA691F">
              <w:rPr>
                <w:rFonts w:ascii="標楷體" w:eastAsia="標楷體" w:hAnsi="標楷體"/>
              </w:rPr>
              <w:t>適用對象。</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第四條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財團法人會計事務之處理及財務報告之編製，應優先適用財團法人法及本準則規定辦理；其餘未規定事項，應依一般公認會計原則辦理。</w:t>
            </w:r>
          </w:p>
          <w:p w:rsidR="00A41230" w:rsidRPr="00BA691F" w:rsidRDefault="00A41230" w:rsidP="000A7D66">
            <w:pPr>
              <w:spacing w:line="400" w:lineRule="exact"/>
              <w:ind w:left="240" w:hangingChars="100" w:hanging="240"/>
              <w:jc w:val="both"/>
            </w:pPr>
            <w:r w:rsidRPr="00BA691F">
              <w:rPr>
                <w:rFonts w:ascii="標楷體" w:eastAsia="標楷體" w:cs="標楷體" w:hint="eastAsia"/>
                <w:kern w:val="0"/>
              </w:rPr>
              <w:t xml:space="preserve">    前項一般公認會計原則，指財團法人中華民國會計研究發展基金會所公開之各號企業會計準則公報及其解釋。但</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財團法人得因實際業務需要，採金融監督管理委員會認可之國際財務報導準則、國際會計準則、解釋及解釋公告。</w:t>
            </w:r>
          </w:p>
        </w:tc>
        <w:tc>
          <w:tcPr>
            <w:tcW w:w="4956" w:type="dxa"/>
          </w:tcPr>
          <w:p w:rsidR="00A41230" w:rsidRPr="00BA691F" w:rsidRDefault="00A41230" w:rsidP="000A7D66">
            <w:pPr>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kern w:val="0"/>
              </w:rPr>
              <w:t>一、</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財團法人之會計處理及財務報告編製應依本準則及有關法規規定辦理；本準則及相關法規未規定時，應依一般公認會計原則辦理。</w:t>
            </w:r>
          </w:p>
          <w:p w:rsidR="00A41230" w:rsidRPr="00BA691F" w:rsidRDefault="00A41230" w:rsidP="000A7D66">
            <w:pPr>
              <w:spacing w:line="400" w:lineRule="exact"/>
              <w:ind w:left="480" w:hangingChars="200" w:hanging="480"/>
              <w:jc w:val="both"/>
            </w:pPr>
            <w:r w:rsidRPr="00BA691F">
              <w:rPr>
                <w:rFonts w:ascii="標楷體" w:eastAsia="標楷體" w:cs="標楷體"/>
                <w:kern w:val="0"/>
              </w:rPr>
              <w:t>二、</w:t>
            </w:r>
            <w:r w:rsidRPr="00BA691F">
              <w:rPr>
                <w:rFonts w:ascii="標楷體" w:eastAsia="標楷體" w:cs="標楷體" w:hint="eastAsia"/>
                <w:kern w:val="0"/>
              </w:rPr>
              <w:t>所稱一般公認會計原則，參酌經濟部一百零四年九月十六日經商字第一○四○二四二五二九○號函指「財團法人中華民國會計研究發展基金會所公開之各號企業會計準則公報及其解釋」，但財團法人亦得因實際業務需要，採「金融監督管理委員會認可之國際財務報導準則、國際會計準則、解釋及解釋公告」。</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第五條</w:t>
            </w:r>
            <w:r w:rsidRPr="00BA691F">
              <w:rPr>
                <w:rFonts w:ascii="標楷體" w:eastAsia="標楷體" w:cs="標楷體" w:hint="eastAsia"/>
                <w:color w:val="000000" w:themeColor="text1"/>
                <w:kern w:val="0"/>
              </w:rPr>
              <w:t xml:space="preserve">　客家</w:t>
            </w:r>
            <w:r w:rsidRPr="00BA691F">
              <w:rPr>
                <w:rFonts w:ascii="標楷體" w:eastAsia="標楷體" w:cs="標楷體" w:hint="eastAsia"/>
                <w:kern w:val="0"/>
              </w:rPr>
              <w:t>財團法人之會計年度採曆年制，自每年一月一日起至十二月三十一日止。</w:t>
            </w:r>
          </w:p>
        </w:tc>
        <w:tc>
          <w:tcPr>
            <w:tcW w:w="4956" w:type="dxa"/>
          </w:tcPr>
          <w:p w:rsidR="00A41230" w:rsidRPr="00BA691F" w:rsidRDefault="00A41230" w:rsidP="000A7D66">
            <w:pPr>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t>依財團法人法第二十四條第一項規定，並參酌商業會計法第六條規定，明定財團法人之會計年度採曆年制，且會計年度自每年一月一日起至十二月三十一日止，以資明確。</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lastRenderedPageBreak/>
              <w:t xml:space="preserve">第六條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財團法人之會計基礎，採用權責發生制。</w:t>
            </w:r>
          </w:p>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前項所稱權責發生制，指收益於確定應收時，費用於確定應付時，即行入帳。決算時，收益及費用須按其應歸屬年度作調整分錄。</w:t>
            </w:r>
          </w:p>
        </w:tc>
        <w:tc>
          <w:tcPr>
            <w:tcW w:w="4956" w:type="dxa"/>
          </w:tcPr>
          <w:p w:rsidR="00A41230" w:rsidRPr="00BA691F" w:rsidRDefault="00A41230" w:rsidP="000A7D66">
            <w:pPr>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hint="eastAsia"/>
                <w:kern w:val="0"/>
              </w:rPr>
              <w:t>一、依財團法人法第二十四條第一項規定，於第一項明定</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財團法人之會計基礎採權責發生制。</w:t>
            </w:r>
          </w:p>
          <w:p w:rsidR="00A41230" w:rsidRPr="00BA691F" w:rsidRDefault="00A41230" w:rsidP="000A7D66">
            <w:pPr>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hint="eastAsia"/>
                <w:kern w:val="0"/>
              </w:rPr>
              <w:t>二、參酌商業會計法第十條第二項規定，於第二項明定權責發生制之定義。</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第七條</w:t>
            </w:r>
            <w:r w:rsidRPr="00BA691F">
              <w:rPr>
                <w:rFonts w:ascii="標楷體" w:eastAsia="標楷體" w:cs="標楷體"/>
                <w:kern w:val="0"/>
              </w:rPr>
              <w:t xml:space="preserve">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財團法人應以新臺幣為記帳本位幣，並以元為單位，新臺幣以外之貨幣應折合為新臺幣。</w:t>
            </w:r>
          </w:p>
        </w:tc>
        <w:tc>
          <w:tcPr>
            <w:tcW w:w="4956" w:type="dxa"/>
          </w:tcPr>
          <w:p w:rsidR="00A41230" w:rsidRPr="00BA691F" w:rsidRDefault="00A41230" w:rsidP="000A7D66">
            <w:pPr>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t>參酌商業會計法第七條及商業會計處理準則第十二條規定，明定</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財團法人會計之記帳本位幣及單位。</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第二章 會計處理</w:t>
            </w:r>
          </w:p>
        </w:tc>
        <w:tc>
          <w:tcPr>
            <w:tcW w:w="4956" w:type="dxa"/>
          </w:tcPr>
          <w:p w:rsidR="00A41230" w:rsidRPr="00BA691F" w:rsidRDefault="00A41230" w:rsidP="000A7D66">
            <w:pPr>
              <w:autoSpaceDE w:val="0"/>
              <w:autoSpaceDN w:val="0"/>
              <w:adjustRightInd w:val="0"/>
              <w:spacing w:line="400" w:lineRule="exact"/>
              <w:ind w:left="511" w:hangingChars="213" w:hanging="511"/>
              <w:jc w:val="both"/>
              <w:rPr>
                <w:rFonts w:ascii="標楷體" w:eastAsia="標楷體" w:cs="標楷體"/>
                <w:kern w:val="0"/>
              </w:rPr>
            </w:pPr>
            <w:r w:rsidRPr="00BA691F">
              <w:rPr>
                <w:rFonts w:ascii="標楷體" w:eastAsia="標楷體" w:cs="標楷體" w:hint="eastAsia"/>
                <w:kern w:val="0"/>
              </w:rPr>
              <w:t>章名</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2" w:hangingChars="101" w:hanging="242"/>
              <w:jc w:val="both"/>
              <w:rPr>
                <w:rFonts w:ascii="標楷體" w:eastAsia="標楷體" w:cs="標楷體"/>
                <w:kern w:val="0"/>
              </w:rPr>
            </w:pPr>
            <w:r w:rsidRPr="00BA691F">
              <w:rPr>
                <w:rFonts w:ascii="標楷體" w:eastAsia="標楷體" w:cs="標楷體" w:hint="eastAsia"/>
                <w:kern w:val="0"/>
              </w:rPr>
              <w:t xml:space="preserve">第八條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財團法人會計事務之處理，除委由會計師或依法取得代他人處理會計事務資格之人處理外，應置會計人員辦理。</w:t>
            </w:r>
          </w:p>
          <w:p w:rsidR="00A41230" w:rsidRPr="00BA691F" w:rsidRDefault="00A41230" w:rsidP="000A7D66">
            <w:pPr>
              <w:autoSpaceDE w:val="0"/>
              <w:autoSpaceDN w:val="0"/>
              <w:adjustRightInd w:val="0"/>
              <w:spacing w:line="400" w:lineRule="exact"/>
              <w:ind w:leftChars="100" w:left="240"/>
              <w:jc w:val="both"/>
              <w:rPr>
                <w:rFonts w:ascii="標楷體" w:eastAsia="標楷體" w:cs="標楷體"/>
                <w:kern w:val="0"/>
              </w:rPr>
            </w:pPr>
            <w:r w:rsidRPr="00BA691F">
              <w:rPr>
                <w:rFonts w:ascii="標楷體" w:eastAsia="標楷體" w:cs="標楷體" w:hint="eastAsia"/>
                <w:kern w:val="0"/>
              </w:rPr>
              <w:t xml:space="preserve">  前項會計人員於</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財團法人編制不足時，得由相關人員兼任。</w:t>
            </w:r>
          </w:p>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處理</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財團法人會計事務之人員離職或變更職務時，應辦理交代。</w:t>
            </w:r>
          </w:p>
        </w:tc>
        <w:tc>
          <w:tcPr>
            <w:tcW w:w="4956" w:type="dxa"/>
          </w:tcPr>
          <w:p w:rsidR="00A41230" w:rsidRPr="00BA691F" w:rsidRDefault="00A41230" w:rsidP="000A7D66">
            <w:pPr>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hint="eastAsia"/>
                <w:kern w:val="0"/>
              </w:rPr>
              <w:t>一、第一項明定</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財團法人會計事務之處理人員。</w:t>
            </w:r>
          </w:p>
          <w:p w:rsidR="00A41230" w:rsidRPr="00BA691F" w:rsidRDefault="00A41230" w:rsidP="000A7D66">
            <w:pPr>
              <w:kinsoku w:val="0"/>
              <w:wordWrap w:val="0"/>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hint="eastAsia"/>
                <w:kern w:val="0"/>
              </w:rPr>
              <w:t>二、為利實務運作，參酌商業會計法第五條第五項前段之規定，於第二項明定會計事務之處理，得委由專業人員處理。</w:t>
            </w:r>
          </w:p>
          <w:p w:rsidR="00A41230" w:rsidRPr="00BA691F" w:rsidRDefault="00A41230" w:rsidP="000A7D66">
            <w:pPr>
              <w:autoSpaceDE w:val="0"/>
              <w:autoSpaceDN w:val="0"/>
              <w:adjustRightInd w:val="0"/>
              <w:spacing w:line="400" w:lineRule="exact"/>
              <w:ind w:left="511" w:hangingChars="213" w:hanging="511"/>
              <w:jc w:val="both"/>
              <w:rPr>
                <w:rFonts w:ascii="標楷體" w:eastAsia="標楷體" w:cs="標楷體"/>
                <w:kern w:val="0"/>
              </w:rPr>
            </w:pPr>
            <w:r w:rsidRPr="00BA691F">
              <w:rPr>
                <w:rFonts w:ascii="標楷體" w:eastAsia="標楷體" w:cs="標楷體" w:hint="eastAsia"/>
                <w:kern w:val="0"/>
              </w:rPr>
              <w:t>三、</w:t>
            </w:r>
            <w:r w:rsidRPr="00BA691F">
              <w:rPr>
                <w:rFonts w:ascii="標楷體" w:eastAsia="標楷體" w:cs="標楷體" w:hint="eastAsia"/>
                <w:color w:val="000000" w:themeColor="text1"/>
                <w:kern w:val="0"/>
              </w:rPr>
              <w:t>第三項明定會計異動時業務應予交待。</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第九條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財團法人應依其業務特性及發展管理上之實際需要，建立會計制度，於報經主管機關備查後實施；修正時，亦同。</w:t>
            </w:r>
          </w:p>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前項會計制度，應包括下列事項：</w:t>
            </w:r>
          </w:p>
          <w:p w:rsidR="00A41230" w:rsidRPr="00BA691F" w:rsidRDefault="00A41230" w:rsidP="000A7D66">
            <w:pPr>
              <w:autoSpaceDE w:val="0"/>
              <w:autoSpaceDN w:val="0"/>
              <w:adjustRightInd w:val="0"/>
              <w:spacing w:line="400" w:lineRule="exact"/>
              <w:ind w:leftChars="100" w:left="240"/>
              <w:jc w:val="both"/>
              <w:rPr>
                <w:rFonts w:ascii="標楷體" w:eastAsia="標楷體" w:cs="標楷體"/>
                <w:kern w:val="0"/>
              </w:rPr>
            </w:pPr>
            <w:r w:rsidRPr="00BA691F">
              <w:rPr>
                <w:rFonts w:ascii="標楷體" w:eastAsia="標楷體" w:cs="標楷體" w:hint="eastAsia"/>
                <w:kern w:val="0"/>
              </w:rPr>
              <w:t>一、總說明。</w:t>
            </w:r>
          </w:p>
          <w:p w:rsidR="00A41230" w:rsidRPr="00BA691F" w:rsidRDefault="00A41230" w:rsidP="000A7D66">
            <w:pPr>
              <w:autoSpaceDE w:val="0"/>
              <w:autoSpaceDN w:val="0"/>
              <w:adjustRightInd w:val="0"/>
              <w:spacing w:line="400" w:lineRule="exact"/>
              <w:ind w:leftChars="100" w:left="720" w:hangingChars="200" w:hanging="480"/>
              <w:jc w:val="both"/>
              <w:rPr>
                <w:rFonts w:ascii="標楷體" w:eastAsia="標楷體" w:cs="標楷體"/>
                <w:kern w:val="0"/>
              </w:rPr>
            </w:pPr>
            <w:r w:rsidRPr="00BA691F">
              <w:rPr>
                <w:rFonts w:ascii="標楷體" w:eastAsia="標楷體" w:cs="標楷體" w:hint="eastAsia"/>
                <w:kern w:val="0"/>
              </w:rPr>
              <w:t>二、帳簿組織系統圖。</w:t>
            </w:r>
          </w:p>
          <w:p w:rsidR="00A41230" w:rsidRPr="00BA691F" w:rsidRDefault="00A41230" w:rsidP="000A7D66">
            <w:pPr>
              <w:autoSpaceDE w:val="0"/>
              <w:autoSpaceDN w:val="0"/>
              <w:adjustRightInd w:val="0"/>
              <w:spacing w:line="400" w:lineRule="exact"/>
              <w:ind w:leftChars="100" w:left="720" w:hangingChars="200" w:hanging="480"/>
              <w:jc w:val="both"/>
              <w:rPr>
                <w:rFonts w:ascii="標楷體" w:eastAsia="標楷體" w:cs="標楷體"/>
                <w:kern w:val="0"/>
              </w:rPr>
            </w:pPr>
            <w:r w:rsidRPr="00BA691F">
              <w:rPr>
                <w:rFonts w:ascii="標楷體" w:eastAsia="標楷體" w:cs="標楷體" w:hint="eastAsia"/>
                <w:kern w:val="0"/>
              </w:rPr>
              <w:t>三、會計憑證、會計簿籍與會計報表之種類及其格式。</w:t>
            </w:r>
          </w:p>
          <w:p w:rsidR="00A41230" w:rsidRPr="00BA691F" w:rsidRDefault="00A41230" w:rsidP="000A7D66">
            <w:pPr>
              <w:autoSpaceDE w:val="0"/>
              <w:autoSpaceDN w:val="0"/>
              <w:adjustRightInd w:val="0"/>
              <w:spacing w:line="400" w:lineRule="exact"/>
              <w:ind w:leftChars="100" w:left="720" w:hangingChars="200" w:hanging="480"/>
              <w:jc w:val="both"/>
              <w:rPr>
                <w:rFonts w:ascii="標楷體" w:eastAsia="標楷體" w:cs="標楷體"/>
                <w:kern w:val="0"/>
              </w:rPr>
            </w:pPr>
            <w:r w:rsidRPr="00BA691F">
              <w:rPr>
                <w:rFonts w:ascii="標楷體" w:eastAsia="標楷體" w:cs="標楷體" w:hint="eastAsia"/>
                <w:kern w:val="0"/>
              </w:rPr>
              <w:t>四、會計科（項）目之名稱、定義及其編號。</w:t>
            </w:r>
          </w:p>
          <w:p w:rsidR="00A41230" w:rsidRPr="00BA691F" w:rsidRDefault="00A41230" w:rsidP="000A7D66">
            <w:pPr>
              <w:autoSpaceDE w:val="0"/>
              <w:autoSpaceDN w:val="0"/>
              <w:adjustRightInd w:val="0"/>
              <w:spacing w:line="400" w:lineRule="exact"/>
              <w:ind w:leftChars="100" w:left="720" w:hangingChars="200" w:hanging="480"/>
              <w:jc w:val="both"/>
              <w:rPr>
                <w:rFonts w:ascii="標楷體" w:eastAsia="標楷體" w:cs="標楷體"/>
                <w:kern w:val="0"/>
              </w:rPr>
            </w:pPr>
            <w:r w:rsidRPr="00BA691F">
              <w:rPr>
                <w:rFonts w:ascii="標楷體" w:eastAsia="標楷體" w:cs="標楷體" w:hint="eastAsia"/>
                <w:kern w:val="0"/>
              </w:rPr>
              <w:t>五、會計事務處理程序。</w:t>
            </w:r>
          </w:p>
          <w:p w:rsidR="00A41230" w:rsidRPr="00BA691F" w:rsidRDefault="00A41230" w:rsidP="000A7D66">
            <w:pPr>
              <w:autoSpaceDE w:val="0"/>
              <w:autoSpaceDN w:val="0"/>
              <w:adjustRightInd w:val="0"/>
              <w:spacing w:line="400" w:lineRule="exact"/>
              <w:ind w:leftChars="100" w:left="720" w:hangingChars="200" w:hanging="480"/>
              <w:jc w:val="both"/>
              <w:rPr>
                <w:rFonts w:ascii="標楷體" w:eastAsia="標楷體" w:cs="標楷體"/>
                <w:kern w:val="0"/>
              </w:rPr>
            </w:pPr>
            <w:r w:rsidRPr="00BA691F">
              <w:rPr>
                <w:rFonts w:ascii="標楷體" w:eastAsia="標楷體" w:cs="標楷體" w:hint="eastAsia"/>
                <w:kern w:val="0"/>
              </w:rPr>
              <w:t>六、內部審核之處理程序。</w:t>
            </w:r>
          </w:p>
          <w:p w:rsidR="00A41230" w:rsidRPr="00BA691F" w:rsidRDefault="00A41230" w:rsidP="000A7D66">
            <w:pPr>
              <w:autoSpaceDE w:val="0"/>
              <w:autoSpaceDN w:val="0"/>
              <w:adjustRightInd w:val="0"/>
              <w:spacing w:line="400" w:lineRule="exact"/>
              <w:ind w:leftChars="100" w:left="720" w:hangingChars="200" w:hanging="480"/>
              <w:jc w:val="both"/>
              <w:rPr>
                <w:rFonts w:ascii="標楷體" w:eastAsia="標楷體" w:cs="標楷體"/>
                <w:kern w:val="0"/>
              </w:rPr>
            </w:pPr>
            <w:r w:rsidRPr="00BA691F">
              <w:rPr>
                <w:rFonts w:ascii="標楷體" w:eastAsia="標楷體" w:cs="標楷體" w:hint="eastAsia"/>
                <w:kern w:val="0"/>
              </w:rPr>
              <w:t>七、會計檔案之管理。</w:t>
            </w:r>
          </w:p>
          <w:p w:rsidR="00A41230" w:rsidRPr="00BA691F" w:rsidRDefault="00A41230" w:rsidP="000A7D66">
            <w:pPr>
              <w:autoSpaceDE w:val="0"/>
              <w:autoSpaceDN w:val="0"/>
              <w:adjustRightInd w:val="0"/>
              <w:spacing w:line="400" w:lineRule="exact"/>
              <w:ind w:left="242" w:hangingChars="101" w:hanging="242"/>
              <w:jc w:val="both"/>
              <w:rPr>
                <w:rFonts w:ascii="標楷體" w:eastAsia="標楷體" w:cs="標楷體"/>
                <w:kern w:val="0"/>
              </w:rPr>
            </w:pPr>
            <w:r>
              <w:rPr>
                <w:rFonts w:ascii="標楷體" w:eastAsia="標楷體" w:cs="標楷體" w:hint="eastAsia"/>
                <w:kern w:val="0"/>
              </w:rPr>
              <w:t xml:space="preserve">  </w:t>
            </w:r>
            <w:r w:rsidRPr="00BA691F">
              <w:rPr>
                <w:rFonts w:ascii="標楷體" w:eastAsia="標楷體" w:cs="標楷體" w:hint="eastAsia"/>
                <w:kern w:val="0"/>
              </w:rPr>
              <w:t>八、其他會計相關事項。</w:t>
            </w:r>
          </w:p>
        </w:tc>
        <w:tc>
          <w:tcPr>
            <w:tcW w:w="4956" w:type="dxa"/>
          </w:tcPr>
          <w:p w:rsidR="00A41230" w:rsidRPr="00BA691F" w:rsidRDefault="00A41230" w:rsidP="000A7D66">
            <w:pPr>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hint="eastAsia"/>
                <w:kern w:val="0"/>
              </w:rPr>
              <w:t>一、依據財團法人法第二十四條第一項規定，</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財團法人應建立會計制度，並報主管機關備查。</w:t>
            </w:r>
          </w:p>
          <w:p w:rsidR="00A41230" w:rsidRPr="00BA691F" w:rsidRDefault="00A41230" w:rsidP="000A7D66">
            <w:pPr>
              <w:kinsoku w:val="0"/>
              <w:wordWrap w:val="0"/>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hint="eastAsia"/>
                <w:kern w:val="0"/>
              </w:rPr>
              <w:t>二、明定</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財團法人會計制度應包括之內容項目。</w:t>
            </w:r>
          </w:p>
        </w:tc>
      </w:tr>
      <w:tr w:rsidR="00A41230" w:rsidRPr="00BA691F" w:rsidTr="000A7D66">
        <w:tc>
          <w:tcPr>
            <w:tcW w:w="4955" w:type="dxa"/>
          </w:tcPr>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第十條  本準則所定會計事項，指客家</w:t>
            </w:r>
            <w:r w:rsidRPr="00BA691F">
              <w:rPr>
                <w:rFonts w:ascii="標楷體" w:eastAsia="標楷體" w:cs="標楷體" w:hint="eastAsia"/>
                <w:kern w:val="0"/>
              </w:rPr>
              <w:lastRenderedPageBreak/>
              <w:t>財團法人之資產、負債、淨值、收益及費損發生增減變化之事項。其種類如下：</w:t>
            </w:r>
          </w:p>
          <w:p w:rsidR="00A41230"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一、對外會計事項：會計事項涉及</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財團法人本身以外之人，而與之發生權責關係者。</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kern w:val="0"/>
              </w:rPr>
            </w:pPr>
            <w:r>
              <w:rPr>
                <w:rFonts w:ascii="標楷體" w:eastAsia="標楷體" w:cs="標楷體" w:hint="eastAsia"/>
                <w:kern w:val="0"/>
              </w:rPr>
              <w:t xml:space="preserve">  </w:t>
            </w:r>
            <w:r w:rsidRPr="00BA691F">
              <w:rPr>
                <w:rFonts w:ascii="標楷體" w:eastAsia="標楷體" w:cs="標楷體" w:hint="eastAsia"/>
                <w:kern w:val="0"/>
              </w:rPr>
              <w:t>二、內部會計事項：不涉及</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財團法人本身以外之人者。</w:t>
            </w:r>
          </w:p>
        </w:tc>
        <w:tc>
          <w:tcPr>
            <w:tcW w:w="4956" w:type="dxa"/>
          </w:tcPr>
          <w:p w:rsidR="00A41230" w:rsidRPr="00BA691F" w:rsidRDefault="00A41230" w:rsidP="000A7D66">
            <w:pPr>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lastRenderedPageBreak/>
              <w:t>參酌商業會計法第十一條規定，明定本</w:t>
            </w:r>
            <w:r w:rsidRPr="00BA691F">
              <w:rPr>
                <w:rFonts w:ascii="標楷體" w:eastAsia="標楷體" w:cs="標楷體" w:hint="eastAsia"/>
                <w:kern w:val="0"/>
              </w:rPr>
              <w:lastRenderedPageBreak/>
              <w:t>準則之會計事項。</w:t>
            </w:r>
          </w:p>
        </w:tc>
      </w:tr>
      <w:tr w:rsidR="00A41230" w:rsidRPr="00BA691F" w:rsidTr="000A7D66">
        <w:tc>
          <w:tcPr>
            <w:tcW w:w="4955" w:type="dxa"/>
          </w:tcPr>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lastRenderedPageBreak/>
              <w:t>第十一條  會計事項之發生，均應取得、給予或自行編製足以證明之會計憑證。</w:t>
            </w:r>
          </w:p>
        </w:tc>
        <w:tc>
          <w:tcPr>
            <w:tcW w:w="4956" w:type="dxa"/>
          </w:tcPr>
          <w:p w:rsidR="00A41230" w:rsidRPr="00BA691F" w:rsidRDefault="00A41230" w:rsidP="000A7D66">
            <w:pPr>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t>參酌商業會計法第十四條規定，會計事項之發生，</w:t>
            </w:r>
            <w:r w:rsidRPr="00BA691F">
              <w:rPr>
                <w:rStyle w:val="w51"/>
                <w:rFonts w:ascii="標楷體" w:eastAsia="標楷體" w:hAnsi="標楷體" w:cs="Arial"/>
              </w:rPr>
              <w:t>均應</w:t>
            </w:r>
            <w:r w:rsidRPr="00BA691F">
              <w:rPr>
                <w:rStyle w:val="w51"/>
                <w:rFonts w:ascii="標楷體" w:eastAsia="標楷體" w:hAnsi="標楷體" w:cs="Arial" w:hint="eastAsia"/>
              </w:rPr>
              <w:t>有</w:t>
            </w:r>
            <w:r w:rsidRPr="00BA691F">
              <w:rPr>
                <w:rStyle w:val="w51"/>
                <w:rFonts w:ascii="標楷體" w:eastAsia="標楷體" w:hAnsi="標楷體" w:cs="Arial"/>
              </w:rPr>
              <w:t>足以證明之會計憑證。</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第十二條　會計憑證分下列二類：</w:t>
            </w:r>
          </w:p>
          <w:p w:rsidR="00A41230" w:rsidRPr="00BA691F" w:rsidRDefault="00A41230" w:rsidP="000A7D66">
            <w:pPr>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一、原始憑證：證明會計事項之經過，而為造具記帳憑證所根據之憑證。</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w:t>
            </w:r>
            <w:r>
              <w:rPr>
                <w:rFonts w:ascii="標楷體" w:eastAsia="標楷體" w:cs="標楷體" w:hint="eastAsia"/>
                <w:kern w:val="0"/>
              </w:rPr>
              <w:t xml:space="preserve"> </w:t>
            </w:r>
            <w:r w:rsidRPr="00BA691F">
              <w:rPr>
                <w:rFonts w:ascii="標楷體" w:eastAsia="標楷體" w:cs="標楷體" w:hint="eastAsia"/>
                <w:kern w:val="0"/>
              </w:rPr>
              <w:t>二、記帳憑證：證明處理會計事項人員之責任，而為記帳所根據之憑證。</w:t>
            </w:r>
          </w:p>
        </w:tc>
        <w:tc>
          <w:tcPr>
            <w:tcW w:w="4956" w:type="dxa"/>
          </w:tcPr>
          <w:p w:rsidR="00A41230" w:rsidRPr="00BA691F" w:rsidRDefault="00A41230" w:rsidP="000A7D66">
            <w:pPr>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t>參酌商業會計法第十五條規定，明定會計憑證之種類。</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第十三條  原始憑證之種類如下：</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一、外來憑證：自</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財團法人本身以外之人所取得者。</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二、對外憑證：給與</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財團法人本身以外之人者。</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三、內部憑證：由</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財團法人本身根據事實及金額自行製存者。</w:t>
            </w:r>
          </w:p>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前項第一款及第二款之外來憑證及對外憑證應記載下列事項，由開具人簽名或蓋章：</w:t>
            </w:r>
          </w:p>
          <w:p w:rsidR="00A41230" w:rsidRPr="00BA691F" w:rsidRDefault="00A41230" w:rsidP="000A7D66">
            <w:pPr>
              <w:autoSpaceDE w:val="0"/>
              <w:autoSpaceDN w:val="0"/>
              <w:adjustRightInd w:val="0"/>
              <w:spacing w:line="400" w:lineRule="exact"/>
              <w:ind w:rightChars="50" w:right="120" w:firstLineChars="101" w:firstLine="242"/>
              <w:jc w:val="both"/>
              <w:rPr>
                <w:rFonts w:ascii="標楷體" w:eastAsia="標楷體" w:cs="標楷體"/>
                <w:kern w:val="0"/>
              </w:rPr>
            </w:pPr>
            <w:r w:rsidRPr="00BA691F">
              <w:rPr>
                <w:rFonts w:ascii="標楷體" w:eastAsia="標楷體" w:cs="標楷體" w:hint="eastAsia"/>
                <w:kern w:val="0"/>
              </w:rPr>
              <w:t>一、憑證名稱。</w:t>
            </w:r>
          </w:p>
          <w:p w:rsidR="00A41230" w:rsidRPr="00BA691F" w:rsidRDefault="00A41230" w:rsidP="000A7D66">
            <w:pPr>
              <w:autoSpaceDE w:val="0"/>
              <w:autoSpaceDN w:val="0"/>
              <w:adjustRightInd w:val="0"/>
              <w:spacing w:line="400" w:lineRule="exact"/>
              <w:ind w:rightChars="50" w:right="120"/>
              <w:jc w:val="both"/>
              <w:rPr>
                <w:rFonts w:ascii="標楷體" w:eastAsia="標楷體" w:cs="標楷體"/>
                <w:kern w:val="0"/>
              </w:rPr>
            </w:pPr>
            <w:r w:rsidRPr="00BA691F">
              <w:rPr>
                <w:rFonts w:ascii="標楷體" w:eastAsia="標楷體" w:cs="標楷體" w:hint="eastAsia"/>
                <w:kern w:val="0"/>
              </w:rPr>
              <w:t xml:space="preserve">  二、日期。</w:t>
            </w:r>
          </w:p>
          <w:p w:rsidR="00A41230" w:rsidRPr="00BA691F" w:rsidRDefault="00A41230" w:rsidP="000A7D66">
            <w:pPr>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三、交易雙方名稱及地址或統一編號。</w:t>
            </w:r>
          </w:p>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四、交易內容及金額。</w:t>
            </w:r>
          </w:p>
        </w:tc>
        <w:tc>
          <w:tcPr>
            <w:tcW w:w="4956" w:type="dxa"/>
          </w:tcPr>
          <w:p w:rsidR="00A41230" w:rsidRPr="00BA691F" w:rsidRDefault="00A41230" w:rsidP="00A41230">
            <w:pPr>
              <w:pStyle w:val="a8"/>
              <w:numPr>
                <w:ilvl w:val="0"/>
                <w:numId w:val="14"/>
              </w:numPr>
              <w:autoSpaceDE w:val="0"/>
              <w:autoSpaceDN w:val="0"/>
              <w:adjustRightInd w:val="0"/>
              <w:spacing w:line="400" w:lineRule="exact"/>
              <w:ind w:leftChars="0"/>
              <w:jc w:val="both"/>
              <w:rPr>
                <w:rFonts w:ascii="標楷體" w:eastAsia="標楷體" w:cs="標楷體"/>
                <w:kern w:val="0"/>
              </w:rPr>
            </w:pPr>
            <w:r w:rsidRPr="00BA691F">
              <w:rPr>
                <w:rFonts w:ascii="標楷體" w:eastAsia="標楷體" w:cs="標楷體" w:hint="eastAsia"/>
                <w:kern w:val="0"/>
              </w:rPr>
              <w:t>參酌商業會計法第十六條規定，明定原始憑證之種類。</w:t>
            </w:r>
          </w:p>
          <w:p w:rsidR="00A41230" w:rsidRPr="00BA691F" w:rsidRDefault="00A41230" w:rsidP="00A41230">
            <w:pPr>
              <w:pStyle w:val="a8"/>
              <w:numPr>
                <w:ilvl w:val="0"/>
                <w:numId w:val="14"/>
              </w:numPr>
              <w:autoSpaceDE w:val="0"/>
              <w:autoSpaceDN w:val="0"/>
              <w:adjustRightInd w:val="0"/>
              <w:spacing w:line="400" w:lineRule="exact"/>
              <w:ind w:leftChars="0"/>
              <w:jc w:val="both"/>
              <w:rPr>
                <w:rFonts w:ascii="標楷體" w:eastAsia="標楷體" w:cs="標楷體"/>
                <w:kern w:val="0"/>
              </w:rPr>
            </w:pPr>
            <w:r w:rsidRPr="00BA691F">
              <w:rPr>
                <w:rFonts w:ascii="標楷體" w:eastAsia="標楷體" w:cs="標楷體" w:hint="eastAsia"/>
                <w:kern w:val="0"/>
              </w:rPr>
              <w:t>參酌商業會計處理準則第五條第一項規定，第一項明定</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財團法人外來憑證及對外憑證之應記載事項。</w:t>
            </w:r>
          </w:p>
          <w:p w:rsidR="00A41230" w:rsidRPr="00BA691F" w:rsidRDefault="00A41230" w:rsidP="000A7D66">
            <w:pPr>
              <w:autoSpaceDE w:val="0"/>
              <w:autoSpaceDN w:val="0"/>
              <w:adjustRightInd w:val="0"/>
              <w:spacing w:line="400" w:lineRule="exact"/>
              <w:ind w:left="511" w:hangingChars="213" w:hanging="511"/>
              <w:jc w:val="both"/>
              <w:rPr>
                <w:rFonts w:ascii="標楷體" w:eastAsia="標楷體" w:cs="標楷體"/>
                <w:kern w:val="0"/>
              </w:rPr>
            </w:pP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2" w:hangingChars="101" w:hanging="242"/>
              <w:jc w:val="both"/>
              <w:rPr>
                <w:rFonts w:ascii="標楷體" w:eastAsia="標楷體" w:cs="標楷體"/>
                <w:kern w:val="0"/>
              </w:rPr>
            </w:pPr>
            <w:r w:rsidRPr="00BA691F">
              <w:rPr>
                <w:rFonts w:ascii="標楷體" w:eastAsia="標楷體" w:cs="標楷體" w:hint="eastAsia"/>
                <w:kern w:val="0"/>
              </w:rPr>
              <w:t>第</w:t>
            </w:r>
            <w:r w:rsidRPr="00BA691F">
              <w:rPr>
                <w:rFonts w:ascii="標楷體" w:eastAsia="標楷體" w:cs="標楷體" w:hint="eastAsia"/>
                <w:color w:val="000000" w:themeColor="text1"/>
                <w:kern w:val="0"/>
              </w:rPr>
              <w:t>十四</w:t>
            </w:r>
            <w:r w:rsidRPr="00BA691F">
              <w:rPr>
                <w:rFonts w:ascii="標楷體" w:eastAsia="標楷體" w:cs="標楷體" w:hint="eastAsia"/>
                <w:kern w:val="0"/>
              </w:rPr>
              <w:t>條　記帳憑證之種類如下：</w:t>
            </w:r>
          </w:p>
          <w:p w:rsidR="00A41230" w:rsidRPr="00BA691F" w:rsidRDefault="00A41230" w:rsidP="000A7D66">
            <w:pPr>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t xml:space="preserve">  一、收入傳票。</w:t>
            </w:r>
          </w:p>
          <w:p w:rsidR="00A41230" w:rsidRPr="00BA691F" w:rsidRDefault="00A41230" w:rsidP="000A7D66">
            <w:pPr>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t xml:space="preserve">  二、支出傳票。</w:t>
            </w:r>
          </w:p>
          <w:p w:rsidR="00A41230" w:rsidRPr="00BA691F" w:rsidRDefault="00A41230" w:rsidP="000A7D66">
            <w:pPr>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lastRenderedPageBreak/>
              <w:t xml:space="preserve">  三、轉帳傳票。</w:t>
            </w:r>
          </w:p>
          <w:p w:rsidR="00A41230" w:rsidRPr="00BA691F" w:rsidRDefault="00A41230" w:rsidP="000A7D66">
            <w:pPr>
              <w:autoSpaceDE w:val="0"/>
              <w:autoSpaceDN w:val="0"/>
              <w:adjustRightInd w:val="0"/>
              <w:spacing w:line="400" w:lineRule="exact"/>
              <w:ind w:leftChars="100" w:left="240"/>
              <w:jc w:val="both"/>
              <w:rPr>
                <w:rFonts w:ascii="標楷體" w:eastAsia="標楷體" w:cs="標楷體"/>
                <w:kern w:val="0"/>
              </w:rPr>
            </w:pPr>
            <w:r w:rsidRPr="00BA691F">
              <w:rPr>
                <w:rFonts w:ascii="標楷體" w:eastAsia="標楷體" w:cs="標楷體" w:hint="eastAsia"/>
                <w:kern w:val="0"/>
              </w:rPr>
              <w:t xml:space="preserve">  記帳憑證之內容應包括</w:t>
            </w:r>
            <w:r w:rsidR="001447C7">
              <w:rPr>
                <w:rFonts w:ascii="標楷體" w:eastAsia="標楷體" w:cs="標楷體" w:hint="eastAsia"/>
                <w:kern w:val="0"/>
                <w:lang w:eastAsia="zh-HK"/>
              </w:rPr>
              <w:t>客家</w:t>
            </w:r>
            <w:r w:rsidRPr="00BA691F">
              <w:rPr>
                <w:rFonts w:ascii="標楷體" w:eastAsia="標楷體" w:cs="標楷體" w:hint="eastAsia"/>
                <w:kern w:val="0"/>
              </w:rPr>
              <w:t>財團法人名稱、傳票名稱、日期、傳票號碼、會計項目名稱、摘要及金額，並經財團法人董事長或其授權人員及相關人員簽名或蓋章。</w:t>
            </w:r>
          </w:p>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第一項各種傳票，得以顏色或其他方法區別之。</w:t>
            </w:r>
          </w:p>
        </w:tc>
        <w:tc>
          <w:tcPr>
            <w:tcW w:w="4956" w:type="dxa"/>
          </w:tcPr>
          <w:p w:rsidR="00A41230" w:rsidRPr="00BA691F" w:rsidRDefault="00A41230" w:rsidP="00A41230">
            <w:pPr>
              <w:pStyle w:val="a8"/>
              <w:numPr>
                <w:ilvl w:val="0"/>
                <w:numId w:val="15"/>
              </w:numPr>
              <w:autoSpaceDE w:val="0"/>
              <w:autoSpaceDN w:val="0"/>
              <w:adjustRightInd w:val="0"/>
              <w:spacing w:line="400" w:lineRule="exact"/>
              <w:ind w:leftChars="0"/>
              <w:jc w:val="both"/>
              <w:rPr>
                <w:rFonts w:ascii="標楷體" w:eastAsia="標楷體" w:cs="標楷體"/>
                <w:kern w:val="0"/>
              </w:rPr>
            </w:pPr>
            <w:r w:rsidRPr="00BA691F">
              <w:rPr>
                <w:rFonts w:ascii="標楷體" w:eastAsia="標楷體" w:cs="標楷體" w:hint="eastAsia"/>
                <w:kern w:val="0"/>
              </w:rPr>
              <w:lastRenderedPageBreak/>
              <w:t>參酌商業會計法第十七條規定，明定記帳憑證之種類，以及區別各類記帳憑證之方法。</w:t>
            </w:r>
          </w:p>
          <w:p w:rsidR="00A41230" w:rsidRPr="00BA691F" w:rsidRDefault="00A41230" w:rsidP="000A7D66">
            <w:pPr>
              <w:autoSpaceDE w:val="0"/>
              <w:autoSpaceDN w:val="0"/>
              <w:adjustRightInd w:val="0"/>
              <w:spacing w:line="400" w:lineRule="exact"/>
              <w:ind w:left="480" w:hangingChars="200" w:hanging="480"/>
              <w:jc w:val="both"/>
              <w:rPr>
                <w:rFonts w:ascii="標楷體" w:eastAsia="標楷體" w:cs="標楷體"/>
                <w:kern w:val="0"/>
              </w:rPr>
            </w:pPr>
            <w:r>
              <w:rPr>
                <w:rFonts w:ascii="標楷體" w:eastAsia="標楷體" w:cs="標楷體" w:hint="eastAsia"/>
                <w:kern w:val="0"/>
              </w:rPr>
              <w:lastRenderedPageBreak/>
              <w:t>二、</w:t>
            </w:r>
            <w:r w:rsidRPr="00BA691F">
              <w:rPr>
                <w:rFonts w:ascii="標楷體" w:eastAsia="標楷體" w:cs="標楷體" w:hint="eastAsia"/>
                <w:kern w:val="0"/>
              </w:rPr>
              <w:t>參酌商業會計處理準則第六條規定，明定</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財團法人記帳憑證內容之應記載事項，並應經</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財團法人董事長或其授權人員及相關人員簽名或蓋章。</w:t>
            </w:r>
          </w:p>
        </w:tc>
      </w:tr>
      <w:tr w:rsidR="00A41230" w:rsidRPr="00BA691F" w:rsidTr="000A7D66">
        <w:tc>
          <w:tcPr>
            <w:tcW w:w="4955" w:type="dxa"/>
          </w:tcPr>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lastRenderedPageBreak/>
              <w:t>第十</w:t>
            </w:r>
            <w:r w:rsidRPr="00BA691F">
              <w:rPr>
                <w:rFonts w:ascii="標楷體" w:eastAsia="標楷體" w:cs="標楷體" w:hint="eastAsia"/>
                <w:color w:val="000000" w:themeColor="text1"/>
                <w:kern w:val="0"/>
              </w:rPr>
              <w:t>五</w:t>
            </w:r>
            <w:r w:rsidRPr="00BA691F">
              <w:rPr>
                <w:rFonts w:ascii="標楷體" w:eastAsia="標楷體" w:cs="標楷體" w:hint="eastAsia"/>
                <w:kern w:val="0"/>
              </w:rPr>
              <w:t xml:space="preserve">條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財團法人應根據原始憑證編製記帳憑證。但會計事務較簡或原始憑證已符合記帳需要者，得不另製記帳憑證，而以原始憑證作為記帳憑證。</w:t>
            </w:r>
          </w:p>
          <w:p w:rsidR="00A41230" w:rsidRPr="00BA691F" w:rsidRDefault="00A41230" w:rsidP="000A7D66">
            <w:pPr>
              <w:autoSpaceDE w:val="0"/>
              <w:autoSpaceDN w:val="0"/>
              <w:adjustRightInd w:val="0"/>
              <w:spacing w:line="400" w:lineRule="exact"/>
              <w:ind w:leftChars="100" w:left="240"/>
              <w:jc w:val="both"/>
              <w:rPr>
                <w:rFonts w:ascii="標楷體" w:eastAsia="標楷體" w:cs="標楷體"/>
                <w:kern w:val="0"/>
              </w:rPr>
            </w:pPr>
            <w:r w:rsidRPr="00BA691F">
              <w:rPr>
                <w:rFonts w:ascii="標楷體" w:eastAsia="標楷體" w:cs="標楷體" w:hint="eastAsia"/>
                <w:kern w:val="0"/>
              </w:rPr>
              <w:t xml:space="preserve">  原始憑證應附於記帳憑證之後，一併作為其附件。</w:t>
            </w:r>
          </w:p>
          <w:p w:rsidR="00A41230" w:rsidRPr="00BA691F" w:rsidRDefault="00A41230" w:rsidP="000A7D66">
            <w:pPr>
              <w:autoSpaceDE w:val="0"/>
              <w:autoSpaceDN w:val="0"/>
              <w:adjustRightInd w:val="0"/>
              <w:spacing w:line="400" w:lineRule="exact"/>
              <w:ind w:left="242" w:hangingChars="101" w:hanging="242"/>
              <w:jc w:val="both"/>
              <w:rPr>
                <w:rFonts w:ascii="標楷體" w:eastAsia="標楷體" w:cs="標楷體"/>
                <w:kern w:val="0"/>
              </w:rPr>
            </w:pPr>
            <w:r w:rsidRPr="00BA691F">
              <w:rPr>
                <w:rFonts w:ascii="標楷體" w:eastAsia="標楷體" w:cs="標楷體" w:hint="eastAsia"/>
                <w:kern w:val="0"/>
              </w:rPr>
              <w:t xml:space="preserve">    為證明權責存在之憑證或應永久保存或另行裝訂較便之原始憑證得另行彙訂保管，並按性質或保管期限分類編號，附註日期、編號、保管人、保管處所及編製目錄備查。</w:t>
            </w:r>
          </w:p>
        </w:tc>
        <w:tc>
          <w:tcPr>
            <w:tcW w:w="4956" w:type="dxa"/>
          </w:tcPr>
          <w:p w:rsidR="00A41230" w:rsidRDefault="00A41230" w:rsidP="00A41230">
            <w:pPr>
              <w:pStyle w:val="a8"/>
              <w:numPr>
                <w:ilvl w:val="0"/>
                <w:numId w:val="16"/>
              </w:numPr>
              <w:autoSpaceDE w:val="0"/>
              <w:autoSpaceDN w:val="0"/>
              <w:adjustRightInd w:val="0"/>
              <w:spacing w:line="400" w:lineRule="exact"/>
              <w:ind w:leftChars="0"/>
              <w:jc w:val="both"/>
              <w:rPr>
                <w:rFonts w:ascii="標楷體" w:eastAsia="標楷體" w:cs="標楷體"/>
                <w:kern w:val="0"/>
              </w:rPr>
            </w:pPr>
            <w:r w:rsidRPr="00BA691F">
              <w:rPr>
                <w:rFonts w:ascii="標楷體" w:eastAsia="標楷體" w:cs="標楷體" w:hint="eastAsia"/>
                <w:kern w:val="0"/>
              </w:rPr>
              <w:t>參酌商業會計處理準則第七條規定，第一項明定</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財團法人應以原始憑證作為編製記帳憑證之依據。考量</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財團法人之規模大小，參酌商業會計法第十八條規定，會計事務較簡或原始憑證已符合記帳需要者，得不另製記帳憑證，而以原始憑證作為記帳憑證。</w:t>
            </w:r>
          </w:p>
          <w:p w:rsidR="00A41230" w:rsidRPr="006241D4" w:rsidRDefault="00A41230" w:rsidP="00A41230">
            <w:pPr>
              <w:pStyle w:val="a8"/>
              <w:numPr>
                <w:ilvl w:val="0"/>
                <w:numId w:val="16"/>
              </w:numPr>
              <w:autoSpaceDE w:val="0"/>
              <w:autoSpaceDN w:val="0"/>
              <w:adjustRightInd w:val="0"/>
              <w:spacing w:line="400" w:lineRule="exact"/>
              <w:ind w:leftChars="0"/>
              <w:jc w:val="both"/>
              <w:rPr>
                <w:rFonts w:ascii="標楷體" w:eastAsia="標楷體" w:cs="標楷體"/>
                <w:kern w:val="0"/>
              </w:rPr>
            </w:pPr>
            <w:r w:rsidRPr="006241D4">
              <w:rPr>
                <w:rFonts w:ascii="標楷體" w:eastAsia="標楷體" w:cs="標楷體" w:hint="eastAsia"/>
                <w:kern w:val="0"/>
              </w:rPr>
              <w:t>第三項明定得另行彙訂保管之原始憑證及其保管方式。</w:t>
            </w:r>
          </w:p>
        </w:tc>
      </w:tr>
      <w:tr w:rsidR="00A41230" w:rsidRPr="00BA691F" w:rsidTr="000A7D66">
        <w:tc>
          <w:tcPr>
            <w:tcW w:w="4955" w:type="dxa"/>
          </w:tcPr>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第十六條 會計帳簿分下列二類：</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一、序時帳簿：指以會計事項發生之時序為主而為記錄者，分為下列二種：</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(一)普通序時帳簿：以對於一切事項為序時登記或同時對於特種序時帳項之結數為序時登記而設者。</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(二)特種序時帳簿：以對於特種事項為序時登記而設者。</w:t>
            </w:r>
          </w:p>
          <w:p w:rsidR="00A41230" w:rsidRPr="00BA691F" w:rsidRDefault="00A41230" w:rsidP="000A7D66">
            <w:pPr>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二、分類帳簿：指以會計事務歸屬之會計科目為主而記錄者，分為下列二種：</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(一)總分類帳：為記載各統馭會計項目而設者。</w:t>
            </w:r>
          </w:p>
          <w:p w:rsidR="00A41230" w:rsidRPr="00BA691F" w:rsidRDefault="00A41230" w:rsidP="000A7D66">
            <w:pPr>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lastRenderedPageBreak/>
              <w:t xml:space="preserve">  (二)明細分類帳：為記載各統馭會計項目之明細項目而設者。</w:t>
            </w:r>
          </w:p>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前項總分類帳及明細分類帳應有統制隸屬之關係，各有關帳戶之金額並應相互勾稽。</w:t>
            </w:r>
          </w:p>
        </w:tc>
        <w:tc>
          <w:tcPr>
            <w:tcW w:w="4956" w:type="dxa"/>
          </w:tcPr>
          <w:p w:rsidR="00A41230" w:rsidRDefault="00A41230" w:rsidP="00A41230">
            <w:pPr>
              <w:pStyle w:val="a8"/>
              <w:numPr>
                <w:ilvl w:val="0"/>
                <w:numId w:val="17"/>
              </w:numPr>
              <w:autoSpaceDE w:val="0"/>
              <w:autoSpaceDN w:val="0"/>
              <w:adjustRightInd w:val="0"/>
              <w:spacing w:line="400" w:lineRule="exact"/>
              <w:ind w:leftChars="0"/>
              <w:jc w:val="both"/>
              <w:rPr>
                <w:rFonts w:ascii="標楷體" w:eastAsia="標楷體" w:cs="標楷體"/>
                <w:kern w:val="0"/>
              </w:rPr>
            </w:pPr>
            <w:r w:rsidRPr="00BA691F">
              <w:rPr>
                <w:rFonts w:ascii="標楷體" w:eastAsia="標楷體" w:cs="標楷體" w:hint="eastAsia"/>
                <w:kern w:val="0"/>
              </w:rPr>
              <w:lastRenderedPageBreak/>
              <w:t>規範</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財團法人之會計帳簿分類。</w:t>
            </w:r>
          </w:p>
          <w:p w:rsidR="00A41230" w:rsidRPr="006241D4" w:rsidRDefault="00A41230" w:rsidP="00A41230">
            <w:pPr>
              <w:pStyle w:val="a8"/>
              <w:numPr>
                <w:ilvl w:val="0"/>
                <w:numId w:val="17"/>
              </w:numPr>
              <w:autoSpaceDE w:val="0"/>
              <w:autoSpaceDN w:val="0"/>
              <w:adjustRightInd w:val="0"/>
              <w:spacing w:line="400" w:lineRule="exact"/>
              <w:ind w:leftChars="0"/>
              <w:jc w:val="both"/>
              <w:rPr>
                <w:rFonts w:ascii="標楷體" w:eastAsia="標楷體" w:cs="標楷體"/>
                <w:kern w:val="0"/>
              </w:rPr>
            </w:pPr>
            <w:r w:rsidRPr="006241D4">
              <w:rPr>
                <w:rFonts w:ascii="標楷體" w:eastAsia="標楷體" w:cs="標楷體" w:hint="eastAsia"/>
                <w:kern w:val="0"/>
              </w:rPr>
              <w:t>參</w:t>
            </w:r>
            <w:r w:rsidRPr="006241D4">
              <w:rPr>
                <w:rFonts w:ascii="標楷體" w:eastAsia="標楷體" w:cs="標楷體" w:hint="eastAsia"/>
                <w:kern w:val="0"/>
                <w:lang w:eastAsia="zh-HK"/>
              </w:rPr>
              <w:t>酌</w:t>
            </w:r>
            <w:r w:rsidRPr="006241D4">
              <w:rPr>
                <w:rFonts w:ascii="標楷體" w:eastAsia="標楷體" w:cs="標楷體" w:hint="eastAsia"/>
                <w:kern w:val="0"/>
              </w:rPr>
              <w:t>商業會計法第二十條、二十一條及二十二條規定</w:t>
            </w:r>
            <w:r w:rsidRPr="006241D4">
              <w:rPr>
                <w:rFonts w:ascii="標楷體" w:eastAsia="標楷體" w:cs="標楷體" w:hint="eastAsia"/>
                <w:kern w:val="0"/>
                <w:lang w:eastAsia="zh-HK"/>
              </w:rPr>
              <w:t>據以訂定</w:t>
            </w:r>
            <w:r w:rsidRPr="006241D4">
              <w:rPr>
                <w:rFonts w:ascii="標楷體" w:eastAsia="標楷體" w:cs="標楷體" w:hint="eastAsia"/>
                <w:kern w:val="0"/>
              </w:rPr>
              <w:t>。</w:t>
            </w:r>
          </w:p>
        </w:tc>
      </w:tr>
      <w:tr w:rsidR="00A41230" w:rsidRPr="00BA691F" w:rsidTr="000A7D66">
        <w:tc>
          <w:tcPr>
            <w:tcW w:w="4955" w:type="dxa"/>
          </w:tcPr>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lastRenderedPageBreak/>
              <w:t xml:space="preserve">第十七條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財團法人應設置普通序時帳簿及總分類帳簿，並得按實際需要設置其他必要之輔助帳簿。</w:t>
            </w:r>
          </w:p>
        </w:tc>
        <w:tc>
          <w:tcPr>
            <w:tcW w:w="4956" w:type="dxa"/>
          </w:tcPr>
          <w:p w:rsidR="00A41230" w:rsidRPr="00BA691F" w:rsidRDefault="00A41230" w:rsidP="000A7D66">
            <w:pPr>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t>參酌商業會計法第二十三條規定，明定</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財團法人應設置之會計帳簿。</w:t>
            </w:r>
          </w:p>
        </w:tc>
      </w:tr>
      <w:tr w:rsidR="00A41230" w:rsidRPr="00BA691F" w:rsidTr="000A7D66">
        <w:tc>
          <w:tcPr>
            <w:tcW w:w="4955" w:type="dxa"/>
          </w:tcPr>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第十八條　會計帳簿在同一會計年度內應連續記載，除已用盡外不得更換新帳簿。</w:t>
            </w:r>
          </w:p>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各種帳簿之首頁應設置帳簿啟用、經管、停用紀錄；分類帳簿次頁應設置帳戶目錄。</w:t>
            </w:r>
          </w:p>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採用電子記帳者，得以電子檔替代紙本帳簿，但應儲存備檔，且應確保會計資料之安全、正確及完整性。</w:t>
            </w:r>
          </w:p>
        </w:tc>
        <w:tc>
          <w:tcPr>
            <w:tcW w:w="4956" w:type="dxa"/>
          </w:tcPr>
          <w:p w:rsidR="00A41230" w:rsidRDefault="00A41230" w:rsidP="000A7D66">
            <w:pPr>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hint="eastAsia"/>
                <w:kern w:val="0"/>
                <w:lang w:eastAsia="zh-HK"/>
              </w:rPr>
              <w:t>一</w:t>
            </w:r>
            <w:r w:rsidRPr="00BA691F">
              <w:rPr>
                <w:rFonts w:ascii="標楷體" w:eastAsia="標楷體" w:hAnsi="標楷體" w:cs="標楷體" w:hint="eastAsia"/>
                <w:kern w:val="0"/>
                <w:lang w:eastAsia="zh-HK"/>
              </w:rPr>
              <w:t>、第一項及第二項分別</w:t>
            </w:r>
            <w:r w:rsidRPr="00BA691F">
              <w:rPr>
                <w:rFonts w:ascii="標楷體" w:eastAsia="標楷體" w:cs="標楷體" w:hint="eastAsia"/>
                <w:kern w:val="0"/>
              </w:rPr>
              <w:t>參酌商業會計處理準則第九條</w:t>
            </w:r>
            <w:r w:rsidRPr="00BA691F">
              <w:rPr>
                <w:rFonts w:ascii="標楷體" w:eastAsia="標楷體" w:hAnsi="標楷體" w:cs="標楷體" w:hint="eastAsia"/>
                <w:kern w:val="0"/>
                <w:lang w:eastAsia="zh-HK"/>
              </w:rPr>
              <w:t>及</w:t>
            </w:r>
            <w:r w:rsidRPr="00BA691F">
              <w:rPr>
                <w:rFonts w:ascii="標楷體" w:eastAsia="標楷體" w:cs="標楷體" w:hint="eastAsia"/>
                <w:kern w:val="0"/>
              </w:rPr>
              <w:t>第十條規定，明定</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財團法人之會計帳簿應連續記載及應設置記載項目。</w:t>
            </w:r>
          </w:p>
          <w:p w:rsidR="00A41230" w:rsidRPr="00BA691F" w:rsidRDefault="00A41230" w:rsidP="000A7D66">
            <w:pPr>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hint="eastAsia"/>
                <w:kern w:val="0"/>
              </w:rPr>
              <w:t>二、為</w:t>
            </w:r>
            <w:r w:rsidRPr="00BA691F">
              <w:rPr>
                <w:rFonts w:ascii="標楷體" w:eastAsia="標楷體" w:cs="標楷體" w:hint="eastAsia"/>
                <w:kern w:val="0"/>
                <w:lang w:eastAsia="zh-HK"/>
              </w:rPr>
              <w:t>規範</w:t>
            </w:r>
            <w:r w:rsidRPr="00BA691F">
              <w:rPr>
                <w:rFonts w:ascii="標楷體" w:eastAsia="標楷體" w:cs="標楷體" w:hint="eastAsia"/>
                <w:color w:val="000000" w:themeColor="text1"/>
                <w:kern w:val="0"/>
              </w:rPr>
              <w:t>客家</w:t>
            </w:r>
            <w:r w:rsidRPr="00BA691F">
              <w:rPr>
                <w:rFonts w:ascii="標楷體" w:eastAsia="標楷體" w:cs="標楷體" w:hint="eastAsia"/>
                <w:kern w:val="0"/>
                <w:lang w:eastAsia="zh-HK"/>
              </w:rPr>
              <w:t>財團法人</w:t>
            </w:r>
            <w:r w:rsidRPr="00BA691F">
              <w:rPr>
                <w:rFonts w:ascii="標楷體" w:eastAsia="標楷體" w:cs="標楷體" w:hint="eastAsia"/>
                <w:kern w:val="0"/>
              </w:rPr>
              <w:t>採用電子記帳者，第三項明定得以電子檔替代紙本帳簿，但應有備檔儲存，且應注意資料之安全、正確與防弊。</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第十九條　更換新帳簿時，應於舊帳簿空白頁上，逐頁加蓋「空白作廢」戳記或截角作廢，並在空白首頁加填「以下空白作廢」字樣。</w:t>
            </w:r>
          </w:p>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記帳錯誤之更正影響總數者，應另開傳票更正；不影響總數者，其更正應在原錯誤之記載上劃紅線二道，將正確之數字或文字書寫於上，並由更正人於更正處簽名或蓋章或另開傳票更正，以明責任。</w:t>
            </w:r>
          </w:p>
        </w:tc>
        <w:tc>
          <w:tcPr>
            <w:tcW w:w="4956" w:type="dxa"/>
          </w:tcPr>
          <w:p w:rsidR="00A41230" w:rsidRPr="00BA691F" w:rsidRDefault="00A41230" w:rsidP="000A7D66">
            <w:pPr>
              <w:autoSpaceDE w:val="0"/>
              <w:autoSpaceDN w:val="0"/>
              <w:adjustRightInd w:val="0"/>
              <w:spacing w:line="400" w:lineRule="exact"/>
              <w:jc w:val="both"/>
              <w:rPr>
                <w:rFonts w:ascii="標楷體" w:eastAsia="標楷體" w:cs="標楷體"/>
                <w:kern w:val="0"/>
                <w:lang w:eastAsia="zh-HK"/>
              </w:rPr>
            </w:pPr>
            <w:r w:rsidRPr="00BA691F">
              <w:rPr>
                <w:rFonts w:ascii="標楷體" w:eastAsia="標楷體" w:cs="標楷體" w:hint="eastAsia"/>
                <w:kern w:val="0"/>
              </w:rPr>
              <w:t>參酌商業會計處理準則第十一條及第十三條規定，第一項明定</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財團法人更換新帳簿之記載方式及處理作法；第二項明定記帳錯誤之記載方式及處理作法。</w:t>
            </w:r>
          </w:p>
        </w:tc>
      </w:tr>
      <w:tr w:rsidR="00A41230" w:rsidRPr="00BA691F" w:rsidTr="000A7D66">
        <w:tc>
          <w:tcPr>
            <w:tcW w:w="4955" w:type="dxa"/>
          </w:tcPr>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第二十條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財團法人之各項收入均應掣給正式收據，並留存根備查。</w:t>
            </w:r>
          </w:p>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前項收入，除供零用金、週轉金使用外，應隨收隨存，存入金融機構。</w:t>
            </w:r>
          </w:p>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財團法人存取款項時，應由董事長或其授權之人，及主辦會計人員於存取款憑證上共同蓋章。</w:t>
            </w:r>
          </w:p>
        </w:tc>
        <w:tc>
          <w:tcPr>
            <w:tcW w:w="4956" w:type="dxa"/>
          </w:tcPr>
          <w:p w:rsidR="00A41230" w:rsidRPr="00BA691F" w:rsidRDefault="00A41230" w:rsidP="000A7D66">
            <w:pPr>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t>參酌工商團體財務處理辦法第二十六條規定，明定</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財團法人各項收據憑證及存取款規定。</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lastRenderedPageBreak/>
              <w:t>第二十一條  客家財團法人非根據真實事項，不得就各項財務收支造具任何會計憑證，並不得在會計帳簿為任何登載。</w:t>
            </w:r>
          </w:p>
        </w:tc>
        <w:tc>
          <w:tcPr>
            <w:tcW w:w="4956" w:type="dxa"/>
          </w:tcPr>
          <w:p w:rsidR="00A41230" w:rsidRPr="00BA691F" w:rsidRDefault="00A41230" w:rsidP="000A7D66">
            <w:pPr>
              <w:kinsoku w:val="0"/>
              <w:wordWrap w:val="0"/>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財團法人各項財務收支，應採公開透明原則，不得有匿報或虛報情事。</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第二十二條  會計事項應按發生次序逐日登帳，至遲不得超過二個月。</w:t>
            </w:r>
          </w:p>
        </w:tc>
        <w:tc>
          <w:tcPr>
            <w:tcW w:w="4956" w:type="dxa"/>
          </w:tcPr>
          <w:p w:rsidR="00A41230" w:rsidRPr="00BA691F" w:rsidRDefault="00A41230" w:rsidP="000A7D66">
            <w:pPr>
              <w:autoSpaceDE w:val="0"/>
              <w:autoSpaceDN w:val="0"/>
              <w:adjustRightInd w:val="0"/>
              <w:spacing w:line="400" w:lineRule="exact"/>
              <w:jc w:val="both"/>
              <w:rPr>
                <w:rFonts w:ascii="標楷體" w:eastAsia="標楷體" w:cs="標楷體"/>
                <w:color w:val="000000" w:themeColor="text1"/>
                <w:kern w:val="0"/>
              </w:rPr>
            </w:pPr>
            <w:r w:rsidRPr="00BA691F">
              <w:rPr>
                <w:rFonts w:ascii="標楷體" w:eastAsia="標楷體" w:cs="標楷體" w:hint="eastAsia"/>
                <w:kern w:val="0"/>
              </w:rPr>
              <w:t>參酌商業會計法第三十四條規定，明定會計事項處理原則。</w:t>
            </w:r>
          </w:p>
        </w:tc>
      </w:tr>
      <w:tr w:rsidR="00A41230" w:rsidRPr="00BA691F" w:rsidTr="000A7D66">
        <w:tc>
          <w:tcPr>
            <w:tcW w:w="4955" w:type="dxa"/>
          </w:tcPr>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第二十三條  各項會計憑證，除應永久保存或有關未結會計事項者外，應於年度決算程序辦理終了後，至少保存五年。</w:t>
            </w:r>
          </w:p>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各項會計帳簿及財務報表，除有關未結會計事項者外，應於年度決算程序辦理終了後，至少保存十年。</w:t>
            </w:r>
          </w:p>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前二項會計憑證、帳簿及財務報表屆滿保存期限，應經董事會或董事長或其授權之人同意，始得銷毀。</w:t>
            </w:r>
          </w:p>
        </w:tc>
        <w:tc>
          <w:tcPr>
            <w:tcW w:w="4956" w:type="dxa"/>
          </w:tcPr>
          <w:p w:rsidR="00A41230" w:rsidRPr="00BA691F" w:rsidRDefault="00A41230" w:rsidP="000A7D66">
            <w:pPr>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t>參酌商業會計法第三十八條規定，明定會計憑證、會計帳簿及財務報告之保存年限。</w:t>
            </w:r>
          </w:p>
        </w:tc>
      </w:tr>
      <w:tr w:rsidR="00A41230" w:rsidRPr="00BA691F" w:rsidTr="000A7D66">
        <w:tc>
          <w:tcPr>
            <w:tcW w:w="4955" w:type="dxa"/>
          </w:tcPr>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第三章  財務報表編製</w:t>
            </w:r>
          </w:p>
        </w:tc>
        <w:tc>
          <w:tcPr>
            <w:tcW w:w="4956" w:type="dxa"/>
          </w:tcPr>
          <w:p w:rsidR="00A41230" w:rsidRPr="00BA691F" w:rsidRDefault="00A41230" w:rsidP="000A7D66">
            <w:pPr>
              <w:autoSpaceDE w:val="0"/>
              <w:autoSpaceDN w:val="0"/>
              <w:adjustRightInd w:val="0"/>
              <w:spacing w:line="400" w:lineRule="exact"/>
              <w:ind w:left="504" w:hangingChars="210" w:hanging="504"/>
              <w:jc w:val="both"/>
              <w:rPr>
                <w:rFonts w:ascii="標楷體" w:eastAsia="標楷體" w:cs="標楷體"/>
                <w:kern w:val="0"/>
              </w:rPr>
            </w:pPr>
            <w:r w:rsidRPr="00BA691F">
              <w:rPr>
                <w:rFonts w:ascii="標楷體" w:eastAsia="標楷體" w:cs="標楷體" w:hint="eastAsia"/>
                <w:kern w:val="0"/>
              </w:rPr>
              <w:t>章名</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color w:val="000000" w:themeColor="text1"/>
                <w:kern w:val="0"/>
              </w:rPr>
            </w:pPr>
            <w:r w:rsidRPr="00BA691F">
              <w:rPr>
                <w:rFonts w:ascii="標楷體" w:eastAsia="標楷體" w:cs="標楷體" w:hint="eastAsia"/>
                <w:color w:val="000000" w:themeColor="text1"/>
                <w:kern w:val="0"/>
              </w:rPr>
              <w:t>第二十四條  客家財團法人所適用之會計科目，依下列規定訂定：</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color w:val="000000" w:themeColor="text1"/>
                <w:kern w:val="0"/>
              </w:rPr>
            </w:pPr>
            <w:r w:rsidRPr="00BA691F">
              <w:rPr>
                <w:rFonts w:ascii="標楷體" w:eastAsia="標楷體" w:cs="標楷體" w:hint="eastAsia"/>
                <w:color w:val="000000" w:themeColor="text1"/>
                <w:kern w:val="0"/>
              </w:rPr>
              <w:t xml:space="preserve">  一、會計科目之設置，應符合一般公認會計原則，並能正確表達各會計事項之性質與編製各種報告，俾呈現營運及財務狀況。</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color w:val="000000" w:themeColor="text1"/>
                <w:kern w:val="0"/>
              </w:rPr>
            </w:pPr>
            <w:r w:rsidRPr="00BA691F">
              <w:rPr>
                <w:rFonts w:ascii="標楷體" w:eastAsia="標楷體" w:cs="標楷體" w:hint="eastAsia"/>
                <w:color w:val="000000" w:themeColor="text1"/>
                <w:kern w:val="0"/>
              </w:rPr>
              <w:t xml:space="preserve">  二、會計科目名稱，應力求簡明且能顯示各會計事項之性質。</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color w:val="000000" w:themeColor="text1"/>
                <w:kern w:val="0"/>
              </w:rPr>
            </w:pPr>
            <w:r w:rsidRPr="00BA691F">
              <w:rPr>
                <w:rFonts w:ascii="標楷體" w:eastAsia="標楷體" w:cs="標楷體" w:hint="eastAsia"/>
                <w:color w:val="000000" w:themeColor="text1"/>
                <w:kern w:val="0"/>
              </w:rPr>
              <w:t xml:space="preserve">  三、會計科目定義，應詳盡且明確訂定其內容及適用範圍。</w:t>
            </w:r>
          </w:p>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color w:val="000000" w:themeColor="text1"/>
                <w:kern w:val="0"/>
              </w:rPr>
              <w:t xml:space="preserve">    客家財團法人得衡酌業務實際需要及交易實況，參酌高雄市客家事務財團法人共通性收支營運表科目參考表、高雄市客家事務財團法人共通性淨值變動表科目參考表、高雄市客家事務財團法人共通性現金流量表科目參考表及高雄市客家事務財團法人共通</w:t>
            </w:r>
            <w:r w:rsidRPr="00BA691F">
              <w:rPr>
                <w:rFonts w:ascii="標楷體" w:eastAsia="標楷體" w:cs="標楷體" w:hint="eastAsia"/>
                <w:color w:val="000000" w:themeColor="text1"/>
                <w:kern w:val="0"/>
              </w:rPr>
              <w:lastRenderedPageBreak/>
              <w:t>性資產負債表科目參考表(如附表一至附表四)，增訂適當之會計科目。</w:t>
            </w:r>
          </w:p>
        </w:tc>
        <w:tc>
          <w:tcPr>
            <w:tcW w:w="4956" w:type="dxa"/>
          </w:tcPr>
          <w:p w:rsidR="00A41230" w:rsidRPr="00BA691F" w:rsidRDefault="00A41230" w:rsidP="000A7D66">
            <w:pPr>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color w:val="000000" w:themeColor="text1"/>
                <w:kern w:val="0"/>
              </w:rPr>
              <w:lastRenderedPageBreak/>
              <w:t>規範客家財團法人會計科目訂定原則及參考表。</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color w:val="000000" w:themeColor="text1"/>
                <w:kern w:val="0"/>
              </w:rPr>
            </w:pPr>
            <w:r w:rsidRPr="00BA691F">
              <w:rPr>
                <w:rFonts w:ascii="標楷體" w:eastAsia="標楷體" w:cs="標楷體" w:hint="eastAsia"/>
                <w:color w:val="000000" w:themeColor="text1"/>
                <w:kern w:val="0"/>
              </w:rPr>
              <w:lastRenderedPageBreak/>
              <w:t>第二十五條  會計項目分為資產、負債、淨值、收入、支出五類；其排列及編號依下列規定為之：</w:t>
            </w:r>
          </w:p>
          <w:p w:rsidR="00A41230" w:rsidRPr="00BA691F" w:rsidRDefault="00A41230" w:rsidP="000A7D66">
            <w:pPr>
              <w:autoSpaceDE w:val="0"/>
              <w:autoSpaceDN w:val="0"/>
              <w:adjustRightInd w:val="0"/>
              <w:spacing w:line="400" w:lineRule="exact"/>
              <w:ind w:left="720" w:hangingChars="300" w:hanging="720"/>
              <w:jc w:val="both"/>
              <w:rPr>
                <w:rFonts w:ascii="標楷體" w:eastAsia="標楷體" w:cs="標楷體"/>
                <w:color w:val="000000" w:themeColor="text1"/>
                <w:kern w:val="0"/>
              </w:rPr>
            </w:pPr>
            <w:r w:rsidRPr="00BA691F">
              <w:rPr>
                <w:rFonts w:ascii="標楷體" w:eastAsia="標楷體" w:cs="標楷體" w:hint="eastAsia"/>
                <w:color w:val="000000" w:themeColor="text1"/>
                <w:kern w:val="0"/>
              </w:rPr>
              <w:t xml:space="preserve">  一、會計科目之排列，依科目性質，分別按其流動性之大小及到期日之遠近排列，大者及近者列前，小者及遠者列後，以利於財務狀況分析與表達為原則。 </w:t>
            </w:r>
          </w:p>
          <w:p w:rsidR="00A41230" w:rsidRPr="00BA691F" w:rsidRDefault="00A41230" w:rsidP="000A7D66">
            <w:pPr>
              <w:autoSpaceDE w:val="0"/>
              <w:autoSpaceDN w:val="0"/>
              <w:adjustRightInd w:val="0"/>
              <w:spacing w:line="400" w:lineRule="exact"/>
              <w:ind w:left="720" w:hangingChars="300" w:hanging="720"/>
              <w:jc w:val="both"/>
              <w:rPr>
                <w:rFonts w:ascii="標楷體" w:eastAsia="標楷體" w:cs="標楷體"/>
                <w:color w:val="000000" w:themeColor="text1"/>
                <w:kern w:val="0"/>
              </w:rPr>
            </w:pPr>
            <w:r w:rsidRPr="00BA691F">
              <w:rPr>
                <w:rFonts w:ascii="標楷體" w:eastAsia="標楷體" w:cs="標楷體" w:hint="eastAsia"/>
                <w:color w:val="000000" w:themeColor="text1"/>
                <w:kern w:val="0"/>
              </w:rPr>
              <w:t xml:space="preserve">  二、會計科目之編號，採用整數編號法，科目編號之細節，配合會計作業電腦化之需要，適切安排。</w:t>
            </w:r>
          </w:p>
        </w:tc>
        <w:tc>
          <w:tcPr>
            <w:tcW w:w="4956" w:type="dxa"/>
          </w:tcPr>
          <w:p w:rsidR="00A41230" w:rsidRPr="00BA691F" w:rsidRDefault="00A41230" w:rsidP="000A7D66">
            <w:pPr>
              <w:autoSpaceDE w:val="0"/>
              <w:autoSpaceDN w:val="0"/>
              <w:adjustRightInd w:val="0"/>
              <w:spacing w:line="400" w:lineRule="exact"/>
              <w:jc w:val="both"/>
              <w:rPr>
                <w:rFonts w:ascii="標楷體" w:eastAsia="標楷體" w:cs="標楷體"/>
                <w:color w:val="000000" w:themeColor="text1"/>
                <w:kern w:val="0"/>
              </w:rPr>
            </w:pPr>
            <w:r w:rsidRPr="00BA691F">
              <w:rPr>
                <w:rFonts w:ascii="標楷體" w:eastAsia="標楷體" w:cs="標楷體" w:hint="eastAsia"/>
                <w:color w:val="000000" w:themeColor="text1"/>
                <w:kern w:val="0"/>
              </w:rPr>
              <w:t>規範客家財團法人之會計項目分類、排列及編號規定。</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第二十六條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財團法人財務報告之內容如下：</w:t>
            </w:r>
          </w:p>
          <w:p w:rsidR="00A41230" w:rsidRPr="00BA691F" w:rsidRDefault="00A41230" w:rsidP="000A7D66">
            <w:pPr>
              <w:autoSpaceDE w:val="0"/>
              <w:autoSpaceDN w:val="0"/>
              <w:adjustRightInd w:val="0"/>
              <w:spacing w:line="400" w:lineRule="exact"/>
              <w:ind w:leftChars="100" w:left="240"/>
              <w:jc w:val="both"/>
              <w:rPr>
                <w:rFonts w:ascii="標楷體" w:eastAsia="標楷體" w:cs="標楷體"/>
                <w:kern w:val="0"/>
              </w:rPr>
            </w:pPr>
            <w:r w:rsidRPr="00BA691F">
              <w:rPr>
                <w:rFonts w:ascii="標楷體" w:eastAsia="標楷體" w:cs="標楷體" w:hint="eastAsia"/>
                <w:kern w:val="0"/>
              </w:rPr>
              <w:t>一、財務報表：</w:t>
            </w:r>
          </w:p>
          <w:p w:rsidR="00A41230" w:rsidRPr="00BA691F" w:rsidRDefault="00A41230" w:rsidP="000A7D66">
            <w:pPr>
              <w:kinsoku w:val="0"/>
              <w:wordWrap w:val="0"/>
              <w:autoSpaceDE w:val="0"/>
              <w:autoSpaceDN w:val="0"/>
              <w:adjustRightInd w:val="0"/>
              <w:spacing w:line="400" w:lineRule="exact"/>
              <w:ind w:leftChars="100" w:left="840" w:hangingChars="250" w:hanging="600"/>
              <w:jc w:val="both"/>
              <w:rPr>
                <w:rFonts w:ascii="標楷體" w:eastAsia="標楷體" w:cs="標楷體"/>
                <w:kern w:val="0"/>
              </w:rPr>
            </w:pPr>
            <w:r w:rsidRPr="00BA691F">
              <w:rPr>
                <w:rFonts w:ascii="標楷體" w:eastAsia="標楷體" w:cs="標楷體" w:hint="eastAsia"/>
                <w:kern w:val="0"/>
              </w:rPr>
              <w:t>(一)收支營運(餘絀)表。</w:t>
            </w:r>
          </w:p>
          <w:p w:rsidR="00A41230" w:rsidRPr="00BA691F" w:rsidRDefault="00A41230" w:rsidP="000A7D66">
            <w:pPr>
              <w:kinsoku w:val="0"/>
              <w:wordWrap w:val="0"/>
              <w:autoSpaceDE w:val="0"/>
              <w:autoSpaceDN w:val="0"/>
              <w:adjustRightInd w:val="0"/>
              <w:spacing w:line="400" w:lineRule="exact"/>
              <w:ind w:leftChars="100" w:left="840" w:hangingChars="250" w:hanging="600"/>
              <w:jc w:val="both"/>
              <w:rPr>
                <w:rFonts w:ascii="標楷體" w:eastAsia="標楷體" w:cs="標楷體"/>
                <w:kern w:val="0"/>
              </w:rPr>
            </w:pPr>
            <w:r w:rsidRPr="00BA691F">
              <w:rPr>
                <w:rFonts w:ascii="標楷體" w:eastAsia="標楷體" w:cs="標楷體" w:hint="eastAsia"/>
                <w:kern w:val="0"/>
              </w:rPr>
              <w:t>(二)資產負債表(平衡表)。</w:t>
            </w:r>
          </w:p>
          <w:p w:rsidR="00A41230" w:rsidRPr="00BA691F" w:rsidRDefault="00A41230" w:rsidP="000A7D66">
            <w:pPr>
              <w:autoSpaceDE w:val="0"/>
              <w:autoSpaceDN w:val="0"/>
              <w:adjustRightInd w:val="0"/>
              <w:spacing w:line="400" w:lineRule="exact"/>
              <w:ind w:leftChars="116" w:left="278" w:rightChars="50" w:right="120" w:firstLineChars="1" w:firstLine="2"/>
              <w:jc w:val="both"/>
              <w:rPr>
                <w:rFonts w:ascii="標楷體" w:eastAsia="標楷體" w:cs="標楷體"/>
                <w:kern w:val="0"/>
              </w:rPr>
            </w:pPr>
            <w:r w:rsidRPr="00BA691F">
              <w:rPr>
                <w:rFonts w:ascii="標楷體" w:eastAsia="標楷體" w:cs="標楷體" w:hint="eastAsia"/>
                <w:kern w:val="0"/>
              </w:rPr>
              <w:t>(三)淨值變動表。</w:t>
            </w:r>
          </w:p>
          <w:p w:rsidR="00A41230" w:rsidRPr="00BA691F" w:rsidRDefault="00A41230" w:rsidP="000A7D66">
            <w:pPr>
              <w:autoSpaceDE w:val="0"/>
              <w:autoSpaceDN w:val="0"/>
              <w:adjustRightInd w:val="0"/>
              <w:spacing w:line="400" w:lineRule="exact"/>
              <w:ind w:leftChars="116" w:left="278" w:rightChars="50" w:right="120" w:firstLineChars="1" w:firstLine="2"/>
              <w:jc w:val="both"/>
              <w:rPr>
                <w:rFonts w:ascii="標楷體" w:eastAsia="標楷體" w:cs="標楷體"/>
                <w:kern w:val="0"/>
              </w:rPr>
            </w:pPr>
            <w:r w:rsidRPr="00BA691F">
              <w:rPr>
                <w:rFonts w:ascii="標楷體" w:eastAsia="標楷體" w:cs="標楷體" w:hint="eastAsia"/>
                <w:kern w:val="0"/>
              </w:rPr>
              <w:t>(四)現金流量表。</w:t>
            </w:r>
          </w:p>
          <w:p w:rsidR="00A41230" w:rsidRPr="00BA691F" w:rsidRDefault="00A41230" w:rsidP="000A7D66">
            <w:pPr>
              <w:autoSpaceDE w:val="0"/>
              <w:autoSpaceDN w:val="0"/>
              <w:adjustRightInd w:val="0"/>
              <w:spacing w:line="400" w:lineRule="exact"/>
              <w:ind w:leftChars="116" w:left="278" w:rightChars="50" w:right="120" w:firstLineChars="1" w:firstLine="2"/>
              <w:jc w:val="both"/>
              <w:rPr>
                <w:rFonts w:ascii="標楷體" w:eastAsia="標楷體" w:cs="標楷體"/>
                <w:kern w:val="0"/>
              </w:rPr>
            </w:pPr>
            <w:r w:rsidRPr="00BA691F">
              <w:rPr>
                <w:rFonts w:ascii="標楷體" w:eastAsia="標楷體" w:cs="標楷體" w:hint="eastAsia"/>
                <w:kern w:val="0"/>
              </w:rPr>
              <w:t>(五)財產清冊。</w:t>
            </w:r>
          </w:p>
          <w:p w:rsidR="00A41230" w:rsidRPr="00BA691F" w:rsidRDefault="00A41230" w:rsidP="000A7D66">
            <w:pPr>
              <w:autoSpaceDE w:val="0"/>
              <w:autoSpaceDN w:val="0"/>
              <w:adjustRightInd w:val="0"/>
              <w:spacing w:line="400" w:lineRule="exact"/>
              <w:ind w:leftChars="116" w:left="278" w:rightChars="50" w:right="120" w:firstLineChars="1" w:firstLine="2"/>
              <w:jc w:val="both"/>
              <w:rPr>
                <w:rFonts w:ascii="標楷體" w:eastAsia="標楷體" w:cs="標楷體"/>
                <w:kern w:val="0"/>
              </w:rPr>
            </w:pPr>
            <w:r w:rsidRPr="00BA691F">
              <w:rPr>
                <w:rFonts w:ascii="標楷體" w:eastAsia="標楷體" w:cs="標楷體" w:hint="eastAsia"/>
                <w:kern w:val="0"/>
              </w:rPr>
              <w:t>(六)附註或附表。</w:t>
            </w:r>
          </w:p>
          <w:p w:rsidR="00A41230" w:rsidRPr="00BA691F" w:rsidRDefault="00A41230" w:rsidP="000A7D66">
            <w:pPr>
              <w:autoSpaceDE w:val="0"/>
              <w:autoSpaceDN w:val="0"/>
              <w:adjustRightInd w:val="0"/>
              <w:spacing w:line="400" w:lineRule="exact"/>
              <w:ind w:leftChars="100" w:left="720" w:hangingChars="200" w:hanging="480"/>
              <w:jc w:val="both"/>
              <w:rPr>
                <w:rFonts w:ascii="標楷體" w:eastAsia="標楷體" w:cs="標楷體"/>
                <w:kern w:val="0"/>
              </w:rPr>
            </w:pPr>
            <w:r w:rsidRPr="00BA691F">
              <w:rPr>
                <w:rFonts w:ascii="標楷體" w:eastAsia="標楷體" w:cs="標楷體" w:hint="eastAsia"/>
                <w:kern w:val="0"/>
              </w:rPr>
              <w:t>二、重要會計項目明細表。</w:t>
            </w:r>
          </w:p>
          <w:p w:rsidR="00A41230" w:rsidRPr="00BA691F" w:rsidRDefault="00A41230" w:rsidP="000A7D66">
            <w:pPr>
              <w:kinsoku w:val="0"/>
              <w:wordWrap w:val="0"/>
              <w:autoSpaceDE w:val="0"/>
              <w:autoSpaceDN w:val="0"/>
              <w:adjustRightInd w:val="0"/>
              <w:spacing w:line="400" w:lineRule="exact"/>
              <w:ind w:leftChars="100" w:left="720" w:hangingChars="200" w:hanging="480"/>
              <w:jc w:val="both"/>
              <w:rPr>
                <w:rFonts w:ascii="標楷體" w:eastAsia="標楷體" w:cs="標楷體"/>
                <w:kern w:val="0"/>
              </w:rPr>
            </w:pPr>
            <w:r w:rsidRPr="00BA691F">
              <w:rPr>
                <w:rFonts w:ascii="標楷體" w:eastAsia="標楷體" w:cs="標楷體" w:hint="eastAsia"/>
                <w:kern w:val="0"/>
              </w:rPr>
              <w:t>三、其他有助於使用人決策之揭露事項及說明。</w:t>
            </w:r>
          </w:p>
          <w:p w:rsidR="00A41230" w:rsidRPr="00BA691F" w:rsidRDefault="00A41230" w:rsidP="000A7D66">
            <w:pPr>
              <w:autoSpaceDE w:val="0"/>
              <w:autoSpaceDN w:val="0"/>
              <w:adjustRightInd w:val="0"/>
              <w:spacing w:line="400" w:lineRule="exact"/>
              <w:ind w:leftChars="100" w:left="240"/>
              <w:jc w:val="both"/>
              <w:rPr>
                <w:rFonts w:ascii="標楷體" w:eastAsia="標楷體" w:cs="標楷體"/>
                <w:kern w:val="0"/>
              </w:rPr>
            </w:pPr>
            <w:r w:rsidRPr="00BA691F">
              <w:rPr>
                <w:rFonts w:ascii="標楷體" w:eastAsia="標楷體" w:cs="標楷體" w:hint="eastAsia"/>
                <w:kern w:val="0"/>
              </w:rPr>
              <w:t xml:space="preserve">  前項第一款財務報表之格式，如附件一至附件五。</w:t>
            </w:r>
          </w:p>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color w:val="000000" w:themeColor="text1"/>
                <w:kern w:val="0"/>
              </w:rPr>
            </w:pPr>
            <w:r w:rsidRPr="00BA691F">
              <w:rPr>
                <w:rFonts w:ascii="標楷體" w:eastAsia="標楷體" w:cs="標楷體" w:hint="eastAsia"/>
                <w:kern w:val="0"/>
              </w:rPr>
              <w:t xml:space="preserve">  </w:t>
            </w:r>
            <w:r>
              <w:rPr>
                <w:rFonts w:ascii="標楷體" w:eastAsia="標楷體" w:cs="標楷體" w:hint="eastAsia"/>
                <w:kern w:val="0"/>
              </w:rPr>
              <w:t xml:space="preserve">  </w:t>
            </w:r>
            <w:r w:rsidRPr="00BA691F">
              <w:rPr>
                <w:rFonts w:ascii="標楷體" w:eastAsia="標楷體" w:cs="標楷體" w:hint="eastAsia"/>
                <w:kern w:val="0"/>
              </w:rPr>
              <w:t>財務報表應由</w:t>
            </w:r>
            <w:r w:rsidRPr="00BA691F">
              <w:rPr>
                <w:rFonts w:ascii="標楷體" w:eastAsia="標楷體" w:cs="標楷體" w:hint="eastAsia"/>
                <w:color w:val="000000" w:themeColor="text1"/>
                <w:kern w:val="0"/>
              </w:rPr>
              <w:t>客家財團法</w:t>
            </w:r>
            <w:r w:rsidRPr="00BA691F">
              <w:rPr>
                <w:rFonts w:ascii="標楷體" w:eastAsia="標楷體" w:cs="標楷體" w:hint="eastAsia"/>
                <w:kern w:val="0"/>
              </w:rPr>
              <w:t>人董事長、執行長或與該等職務相當之人及主辦會計人員簽名或蓋章。</w:t>
            </w:r>
          </w:p>
        </w:tc>
        <w:tc>
          <w:tcPr>
            <w:tcW w:w="4956" w:type="dxa"/>
          </w:tcPr>
          <w:p w:rsidR="00A41230" w:rsidRPr="00BA691F" w:rsidRDefault="00A41230" w:rsidP="000A7D66">
            <w:pPr>
              <w:kinsoku w:val="0"/>
              <w:wordWrap w:val="0"/>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hint="eastAsia"/>
                <w:kern w:val="0"/>
              </w:rPr>
              <w:t>一、參酌證劵發行人財務報告編製準則第四條第一項規定，明定財務報告之內容。</w:t>
            </w:r>
          </w:p>
          <w:p w:rsidR="00A41230" w:rsidRPr="00BA691F" w:rsidRDefault="00A41230" w:rsidP="000A7D66">
            <w:pPr>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hint="eastAsia"/>
                <w:kern w:val="0"/>
              </w:rPr>
              <w:t>二、參酌證劵發行人財務報告編製準則第四條第二項規定，並配合</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財團法人之實際運作需要，於第一款明定財務報表之內容。</w:t>
            </w:r>
          </w:p>
          <w:p w:rsidR="00A41230" w:rsidRPr="00BA691F" w:rsidRDefault="00A41230" w:rsidP="000A7D66">
            <w:pPr>
              <w:autoSpaceDE w:val="0"/>
              <w:autoSpaceDN w:val="0"/>
              <w:adjustRightInd w:val="0"/>
              <w:spacing w:line="400" w:lineRule="exact"/>
              <w:ind w:left="480" w:hangingChars="200" w:hanging="480"/>
              <w:jc w:val="both"/>
              <w:rPr>
                <w:rFonts w:ascii="標楷體" w:eastAsia="標楷體" w:cs="標楷體"/>
                <w:color w:val="000000" w:themeColor="text1"/>
                <w:kern w:val="0"/>
              </w:rPr>
            </w:pPr>
            <w:r w:rsidRPr="00BA691F">
              <w:rPr>
                <w:rFonts w:ascii="標楷體" w:eastAsia="標楷體" w:cs="標楷體" w:hint="eastAsia"/>
                <w:kern w:val="0"/>
              </w:rPr>
              <w:t>三、參酌長期照顧服務機構法人財務報告編製準則第十條第一項規定，明定財務報表，應由董事長、執行長或與該等職務相當之人及主辦會計人員簽名或蓋章。</w:t>
            </w:r>
          </w:p>
        </w:tc>
      </w:tr>
      <w:tr w:rsidR="00A41230" w:rsidRPr="00BA691F" w:rsidTr="000A7D66">
        <w:tc>
          <w:tcPr>
            <w:tcW w:w="4955" w:type="dxa"/>
          </w:tcPr>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第二十七條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財團法人之財務報告，應公允表達財團法人之財產保管與運用情形及財務狀況。</w:t>
            </w:r>
          </w:p>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財團法人之財務報告違反財團</w:t>
            </w:r>
            <w:r w:rsidRPr="00BA691F">
              <w:rPr>
                <w:rFonts w:ascii="標楷體" w:eastAsia="標楷體" w:cs="標楷體" w:hint="eastAsia"/>
                <w:kern w:val="0"/>
              </w:rPr>
              <w:lastRenderedPageBreak/>
              <w:t>法人法、本準則規定或一般公認會計原則，經主管機關通知限期調整或更正者，應於調整或更正後，報主管機關備查。</w:t>
            </w:r>
          </w:p>
        </w:tc>
        <w:tc>
          <w:tcPr>
            <w:tcW w:w="4956" w:type="dxa"/>
          </w:tcPr>
          <w:p w:rsidR="00A41230" w:rsidRPr="00BA691F" w:rsidRDefault="00A41230" w:rsidP="000A7D66">
            <w:pPr>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hint="eastAsia"/>
                <w:kern w:val="0"/>
              </w:rPr>
              <w:lastRenderedPageBreak/>
              <w:t>一、</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財團法人之財務報告內容應公允表達其財產保管與運用情形及財務狀況。</w:t>
            </w:r>
          </w:p>
          <w:p w:rsidR="00A41230" w:rsidRPr="00BA691F" w:rsidRDefault="00A41230" w:rsidP="000A7D66">
            <w:pPr>
              <w:kinsoku w:val="0"/>
              <w:wordWrap w:val="0"/>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hint="eastAsia"/>
                <w:kern w:val="0"/>
              </w:rPr>
              <w:t>二、參酌長期照顧服務機構法人財務報</w:t>
            </w:r>
            <w:r w:rsidRPr="00BA691F">
              <w:rPr>
                <w:rFonts w:ascii="標楷體" w:eastAsia="標楷體" w:cs="標楷體" w:hint="eastAsia"/>
                <w:kern w:val="0"/>
              </w:rPr>
              <w:lastRenderedPageBreak/>
              <w:t>告編製準則第七條第三項規定，於第二項明定</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財團法人之財務報告如有違反本準則規定之後續處理程序。</w:t>
            </w:r>
          </w:p>
        </w:tc>
      </w:tr>
      <w:tr w:rsidR="00A41230" w:rsidRPr="00BA691F" w:rsidTr="000A7D66">
        <w:tc>
          <w:tcPr>
            <w:tcW w:w="4955" w:type="dxa"/>
          </w:tcPr>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lastRenderedPageBreak/>
              <w:t>第</w:t>
            </w:r>
            <w:r>
              <w:rPr>
                <w:rFonts w:ascii="標楷體" w:eastAsia="標楷體" w:cs="標楷體" w:hint="eastAsia"/>
                <w:kern w:val="0"/>
                <w:lang w:eastAsia="zh-HK"/>
              </w:rPr>
              <w:t>四</w:t>
            </w:r>
            <w:r w:rsidRPr="00BA691F">
              <w:rPr>
                <w:rFonts w:ascii="標楷體" w:eastAsia="標楷體" w:cs="標楷體" w:hint="eastAsia"/>
                <w:kern w:val="0"/>
              </w:rPr>
              <w:t>章  附則</w:t>
            </w:r>
          </w:p>
        </w:tc>
        <w:tc>
          <w:tcPr>
            <w:tcW w:w="4956" w:type="dxa"/>
          </w:tcPr>
          <w:p w:rsidR="00A41230" w:rsidRPr="00BA691F" w:rsidRDefault="00A41230" w:rsidP="000A7D66">
            <w:pPr>
              <w:autoSpaceDE w:val="0"/>
              <w:autoSpaceDN w:val="0"/>
              <w:adjustRightInd w:val="0"/>
              <w:spacing w:line="400" w:lineRule="exact"/>
              <w:ind w:left="480" w:hangingChars="200" w:hanging="480"/>
              <w:jc w:val="both"/>
              <w:rPr>
                <w:rFonts w:ascii="標楷體" w:eastAsia="標楷體" w:cs="標楷體"/>
                <w:kern w:val="0"/>
              </w:rPr>
            </w:pPr>
            <w:r w:rsidRPr="00BA691F">
              <w:rPr>
                <w:rFonts w:ascii="標楷體" w:eastAsia="標楷體" w:cs="標楷體" w:hint="eastAsia"/>
                <w:kern w:val="0"/>
              </w:rPr>
              <w:t>章名</w:t>
            </w:r>
          </w:p>
        </w:tc>
      </w:tr>
      <w:tr w:rsidR="00A41230" w:rsidRPr="00BA691F" w:rsidTr="000A7D66">
        <w:tc>
          <w:tcPr>
            <w:tcW w:w="4955" w:type="dxa"/>
          </w:tcPr>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第二十八條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財團法人年度預算之編製程序如下:</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一、政府捐助之</w:t>
            </w:r>
            <w:r w:rsidRPr="00BA691F">
              <w:rPr>
                <w:rFonts w:ascii="標楷體" w:eastAsia="標楷體" w:cs="標楷體" w:hint="eastAsia"/>
                <w:color w:val="000000" w:themeColor="text1"/>
                <w:kern w:val="0"/>
              </w:rPr>
              <w:t>客家財團法人</w:t>
            </w:r>
            <w:r w:rsidRPr="00BA691F">
              <w:rPr>
                <w:rFonts w:ascii="標楷體" w:eastAsia="標楷體" w:cs="標楷體" w:hint="eastAsia"/>
                <w:kern w:val="0"/>
              </w:rPr>
              <w:t>應依預算法及相關法令規定辦理。</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二、民間捐助</w:t>
            </w:r>
            <w:r w:rsidRPr="00BA691F">
              <w:rPr>
                <w:rFonts w:ascii="標楷體" w:eastAsia="標楷體" w:cs="標楷體" w:hint="eastAsia"/>
                <w:color w:val="000000" w:themeColor="text1"/>
                <w:kern w:val="0"/>
              </w:rPr>
              <w:t>之客家財團法</w:t>
            </w:r>
            <w:r w:rsidRPr="00BA691F">
              <w:rPr>
                <w:rFonts w:ascii="標楷體" w:eastAsia="標楷體" w:cs="標楷體" w:hint="eastAsia"/>
                <w:kern w:val="0"/>
              </w:rPr>
              <w:t>人應按年籌編，並應於每年年度開始後一個月內，將當年度工作計畫及經費預算表，提請董事會通過後，送主管機關備查。</w:t>
            </w:r>
          </w:p>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前項工作計畫與經費預算表之格式、項目、編製方式、應記載事項及其他應遵行事項，準用高雄市客家事務財團法人工作計畫經費預算工作報告及財務報表編製辦法之規定辦理。</w:t>
            </w:r>
          </w:p>
        </w:tc>
        <w:tc>
          <w:tcPr>
            <w:tcW w:w="4956" w:type="dxa"/>
          </w:tcPr>
          <w:p w:rsidR="00A41230" w:rsidRPr="00BA691F" w:rsidRDefault="00A41230" w:rsidP="000A7D66">
            <w:pPr>
              <w:kinsoku w:val="0"/>
              <w:wordWrap w:val="0"/>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t>參酌財團法人法第二十五條第一項及第五十五條規定，明定</w:t>
            </w:r>
            <w:r w:rsidRPr="00BA691F">
              <w:rPr>
                <w:rFonts w:ascii="標楷體" w:eastAsia="標楷體" w:cs="標楷體" w:hint="eastAsia"/>
                <w:color w:val="000000" w:themeColor="text1"/>
                <w:kern w:val="0"/>
              </w:rPr>
              <w:t>客家財團法人年度預</w:t>
            </w:r>
            <w:r w:rsidRPr="00BA691F">
              <w:rPr>
                <w:rFonts w:ascii="標楷體" w:eastAsia="標楷體" w:cs="標楷體" w:hint="eastAsia"/>
                <w:kern w:val="0"/>
              </w:rPr>
              <w:t>算之編製作業原則。</w:t>
            </w:r>
          </w:p>
          <w:p w:rsidR="00A41230" w:rsidRPr="00BA691F" w:rsidRDefault="00A41230" w:rsidP="000A7D66">
            <w:pPr>
              <w:autoSpaceDE w:val="0"/>
              <w:autoSpaceDN w:val="0"/>
              <w:adjustRightInd w:val="0"/>
              <w:spacing w:line="400" w:lineRule="exact"/>
              <w:ind w:left="480" w:hangingChars="200" w:hanging="480"/>
              <w:jc w:val="both"/>
              <w:rPr>
                <w:rFonts w:ascii="標楷體" w:eastAsia="標楷體" w:cs="標楷體"/>
                <w:kern w:val="0"/>
              </w:rPr>
            </w:pPr>
          </w:p>
        </w:tc>
      </w:tr>
      <w:tr w:rsidR="00A41230" w:rsidRPr="00BA691F" w:rsidTr="000A7D66">
        <w:tc>
          <w:tcPr>
            <w:tcW w:w="4955" w:type="dxa"/>
          </w:tcPr>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第二十九條  </w:t>
            </w:r>
            <w:r w:rsidRPr="00BA691F">
              <w:rPr>
                <w:rFonts w:ascii="標楷體" w:eastAsia="標楷體" w:cs="標楷體" w:hint="eastAsia"/>
                <w:color w:val="000000" w:themeColor="text1"/>
                <w:kern w:val="0"/>
              </w:rPr>
              <w:t>客家</w:t>
            </w:r>
            <w:r w:rsidRPr="00BA691F">
              <w:rPr>
                <w:rFonts w:ascii="標楷體" w:eastAsia="標楷體" w:cs="標楷體" w:hint="eastAsia"/>
                <w:kern w:val="0"/>
              </w:rPr>
              <w:t>財團法人年度決算之編製程序如下:</w:t>
            </w:r>
          </w:p>
          <w:p w:rsidR="00A41230" w:rsidRPr="00BA691F" w:rsidRDefault="00A41230" w:rsidP="000A7D66">
            <w:pPr>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一、政府捐助之</w:t>
            </w:r>
            <w:r w:rsidRPr="00BA691F">
              <w:rPr>
                <w:rFonts w:ascii="標楷體" w:eastAsia="標楷體" w:cs="標楷體" w:hint="eastAsia"/>
                <w:color w:val="000000" w:themeColor="text1"/>
                <w:kern w:val="0"/>
              </w:rPr>
              <w:t>客家財團法人</w:t>
            </w:r>
            <w:r w:rsidRPr="00BA691F">
              <w:rPr>
                <w:rFonts w:ascii="標楷體" w:eastAsia="標楷體" w:cs="標楷體" w:hint="eastAsia"/>
                <w:kern w:val="0"/>
              </w:rPr>
              <w:t>應依決算法及相關法令規定辦理。</w:t>
            </w:r>
          </w:p>
          <w:p w:rsidR="00A41230" w:rsidRPr="00BA691F" w:rsidRDefault="00A41230" w:rsidP="000A7D66">
            <w:pPr>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二、民間捐助之</w:t>
            </w:r>
            <w:r w:rsidRPr="00BA691F">
              <w:rPr>
                <w:rFonts w:ascii="標楷體" w:eastAsia="標楷體" w:cs="標楷體" w:hint="eastAsia"/>
                <w:color w:val="000000" w:themeColor="text1"/>
                <w:kern w:val="0"/>
              </w:rPr>
              <w:t>客家財團法人:</w:t>
            </w:r>
          </w:p>
          <w:p w:rsidR="00A41230" w:rsidRPr="00BA691F" w:rsidRDefault="00A41230" w:rsidP="000A7D66">
            <w:pPr>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一)應於年度終了後五個月內，將前一年度工作報告及前一年度收支營運(餘絀)表、資產負債表(平衡表)、淨值變動表、現金流量表、財產清冊等，提請董事會通過後，送主管機關備查；如設有監察人者，監察人製作之前一年度監察報告書，應併送主管機關備查。</w:t>
            </w:r>
          </w:p>
          <w:p w:rsidR="00A41230" w:rsidRPr="00BA691F" w:rsidRDefault="00A41230" w:rsidP="000A7D66">
            <w:pPr>
              <w:kinsoku w:val="0"/>
              <w:wordWrap w:val="0"/>
              <w:autoSpaceDE w:val="0"/>
              <w:autoSpaceDN w:val="0"/>
              <w:adjustRightInd w:val="0"/>
              <w:spacing w:line="400" w:lineRule="exact"/>
              <w:ind w:left="720" w:hangingChars="300" w:hanging="720"/>
              <w:jc w:val="both"/>
              <w:rPr>
                <w:rFonts w:ascii="標楷體" w:eastAsia="標楷體" w:cs="標楷體"/>
                <w:kern w:val="0"/>
              </w:rPr>
            </w:pPr>
            <w:r w:rsidRPr="00BA691F">
              <w:rPr>
                <w:rFonts w:ascii="標楷體" w:eastAsia="標楷體" w:cs="標楷體" w:hint="eastAsia"/>
                <w:kern w:val="0"/>
              </w:rPr>
              <w:t xml:space="preserve">  (二)在法院登記財產總額或當年度收入總額達新臺幣一億元以上之</w:t>
            </w:r>
            <w:r w:rsidRPr="00BA691F">
              <w:rPr>
                <w:rFonts w:ascii="標楷體" w:eastAsia="標楷體" w:cs="標楷體" w:hint="eastAsia"/>
                <w:color w:val="000000" w:themeColor="text1"/>
                <w:kern w:val="0"/>
              </w:rPr>
              <w:t>客</w:t>
            </w:r>
            <w:r w:rsidRPr="00BA691F">
              <w:rPr>
                <w:rFonts w:ascii="標楷體" w:eastAsia="標楷體" w:cs="標楷體" w:hint="eastAsia"/>
                <w:color w:val="000000" w:themeColor="text1"/>
                <w:kern w:val="0"/>
              </w:rPr>
              <w:lastRenderedPageBreak/>
              <w:t>家財</w:t>
            </w:r>
            <w:r w:rsidRPr="00BA691F">
              <w:rPr>
                <w:rFonts w:ascii="標楷體" w:eastAsia="標楷體" w:cs="標楷體" w:hint="eastAsia"/>
                <w:kern w:val="0"/>
              </w:rPr>
              <w:t>團法人，除依前目規定辦理外，並應檢附前一年度經會計師查核簽證之查核報告書，送主管機關備查。</w:t>
            </w:r>
          </w:p>
          <w:p w:rsidR="00A41230" w:rsidRPr="00BA691F" w:rsidRDefault="00A41230" w:rsidP="000A7D66">
            <w:pPr>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t xml:space="preserve">    前項第二款第一目之工作報告之格式、項目、編製方式、應記載事項及其他應遵行事項，準用高雄市客家事務財團法人工作計畫經費預算工作報告及財務報表編製辦法之規定辦理。</w:t>
            </w:r>
          </w:p>
        </w:tc>
        <w:tc>
          <w:tcPr>
            <w:tcW w:w="4956" w:type="dxa"/>
          </w:tcPr>
          <w:p w:rsidR="00A41230" w:rsidRPr="00BA691F" w:rsidRDefault="00A41230" w:rsidP="000A7D66">
            <w:pPr>
              <w:kinsoku w:val="0"/>
              <w:wordWrap w:val="0"/>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lastRenderedPageBreak/>
              <w:t>參酌財團法人法第二十五條第一項、第五十五條規定，</w:t>
            </w:r>
            <w:r w:rsidRPr="00BA691F">
              <w:rPr>
                <w:rFonts w:ascii="標楷體" w:eastAsia="標楷體" w:cs="標楷體" w:hint="eastAsia"/>
                <w:color w:val="000000" w:themeColor="text1"/>
                <w:kern w:val="0"/>
              </w:rPr>
              <w:t>明定客家財團法人</w:t>
            </w:r>
            <w:r w:rsidRPr="00BA691F">
              <w:rPr>
                <w:rFonts w:ascii="標楷體" w:eastAsia="標楷體" w:cs="標楷體" w:hint="eastAsia"/>
                <w:kern w:val="0"/>
              </w:rPr>
              <w:t>年度決算之編製作業原則。</w:t>
            </w:r>
          </w:p>
        </w:tc>
      </w:tr>
      <w:tr w:rsidR="00A41230" w:rsidRPr="00BA691F" w:rsidTr="000A7D66">
        <w:tc>
          <w:tcPr>
            <w:tcW w:w="4955" w:type="dxa"/>
          </w:tcPr>
          <w:p w:rsidR="00A41230" w:rsidRPr="00BA691F" w:rsidRDefault="00A41230" w:rsidP="000A7D66">
            <w:pPr>
              <w:kinsoku w:val="0"/>
              <w:wordWrap w:val="0"/>
              <w:autoSpaceDE w:val="0"/>
              <w:autoSpaceDN w:val="0"/>
              <w:adjustRightInd w:val="0"/>
              <w:spacing w:line="400" w:lineRule="exact"/>
              <w:ind w:left="240" w:hangingChars="100" w:hanging="240"/>
              <w:jc w:val="both"/>
              <w:rPr>
                <w:rFonts w:ascii="標楷體" w:eastAsia="標楷體" w:cs="標楷體"/>
                <w:kern w:val="0"/>
              </w:rPr>
            </w:pPr>
            <w:r w:rsidRPr="00BA691F">
              <w:rPr>
                <w:rFonts w:ascii="標楷體" w:eastAsia="標楷體" w:cs="標楷體" w:hint="eastAsia"/>
                <w:kern w:val="0"/>
              </w:rPr>
              <w:lastRenderedPageBreak/>
              <w:t>第三十條  本準則自發布日施行。</w:t>
            </w:r>
          </w:p>
        </w:tc>
        <w:tc>
          <w:tcPr>
            <w:tcW w:w="4956" w:type="dxa"/>
          </w:tcPr>
          <w:p w:rsidR="00A41230" w:rsidRPr="00BA691F" w:rsidRDefault="00A41230" w:rsidP="000A7D66">
            <w:pPr>
              <w:kinsoku w:val="0"/>
              <w:wordWrap w:val="0"/>
              <w:autoSpaceDE w:val="0"/>
              <w:autoSpaceDN w:val="0"/>
              <w:adjustRightInd w:val="0"/>
              <w:spacing w:line="400" w:lineRule="exact"/>
              <w:jc w:val="both"/>
              <w:rPr>
                <w:rFonts w:ascii="標楷體" w:eastAsia="標楷體" w:cs="標楷體"/>
                <w:kern w:val="0"/>
              </w:rPr>
            </w:pPr>
            <w:r w:rsidRPr="00BA691F">
              <w:rPr>
                <w:rFonts w:ascii="標楷體" w:eastAsia="標楷體" w:cs="標楷體" w:hint="eastAsia"/>
                <w:kern w:val="0"/>
              </w:rPr>
              <w:t>本準則之施行日期。</w:t>
            </w:r>
          </w:p>
        </w:tc>
      </w:tr>
    </w:tbl>
    <w:p w:rsidR="00182D83" w:rsidRDefault="00182D83" w:rsidP="00182D83">
      <w:pPr>
        <w:spacing w:line="500" w:lineRule="exact"/>
        <w:ind w:left="1280" w:hangingChars="400" w:hanging="1280"/>
        <w:rPr>
          <w:rFonts w:ascii="標楷體" w:eastAsia="標楷體" w:cs="標楷體"/>
          <w:kern w:val="0"/>
          <w:sz w:val="32"/>
          <w:szCs w:val="32"/>
        </w:rPr>
      </w:pPr>
    </w:p>
    <w:sectPr w:rsidR="00182D83" w:rsidSect="00E143B3">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A6F" w:rsidRDefault="004D2A6F" w:rsidP="006134D8">
      <w:r>
        <w:separator/>
      </w:r>
    </w:p>
  </w:endnote>
  <w:endnote w:type="continuationSeparator" w:id="0">
    <w:p w:rsidR="004D2A6F" w:rsidRDefault="004D2A6F" w:rsidP="0061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DFKaiShu-SB-Estd-BF">
    <w:altName w:val="華康POP1體W5(P)"/>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A6F" w:rsidRDefault="004D2A6F" w:rsidP="006134D8">
      <w:r>
        <w:separator/>
      </w:r>
    </w:p>
  </w:footnote>
  <w:footnote w:type="continuationSeparator" w:id="0">
    <w:p w:rsidR="004D2A6F" w:rsidRDefault="004D2A6F" w:rsidP="006134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982"/>
    <w:multiLevelType w:val="hybridMultilevel"/>
    <w:tmpl w:val="D3723260"/>
    <w:lvl w:ilvl="0" w:tplc="26224B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CF2CA6"/>
    <w:multiLevelType w:val="hybridMultilevel"/>
    <w:tmpl w:val="3B664392"/>
    <w:lvl w:ilvl="0" w:tplc="B0FC349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D25D36"/>
    <w:multiLevelType w:val="hybridMultilevel"/>
    <w:tmpl w:val="36AAAAE2"/>
    <w:lvl w:ilvl="0" w:tplc="47AAB3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076A0A"/>
    <w:multiLevelType w:val="hybridMultilevel"/>
    <w:tmpl w:val="FEACB924"/>
    <w:lvl w:ilvl="0" w:tplc="29A04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080D6E"/>
    <w:multiLevelType w:val="hybridMultilevel"/>
    <w:tmpl w:val="DFD6D59C"/>
    <w:lvl w:ilvl="0" w:tplc="4B4050B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B71B47"/>
    <w:multiLevelType w:val="hybridMultilevel"/>
    <w:tmpl w:val="A6A6A5D6"/>
    <w:lvl w:ilvl="0" w:tplc="8C7CE240">
      <w:start w:val="1"/>
      <w:numFmt w:val="taiwaneseCountingThousand"/>
      <w:lvlText w:val="%1、"/>
      <w:lvlJc w:val="left"/>
      <w:pPr>
        <w:ind w:left="720" w:hanging="720"/>
      </w:pPr>
      <w:rPr>
        <w:rFonts w:ascii="標楷體" w:eastAsia="標楷體" w:hAnsiTheme="minorHAnsi"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7429F6"/>
    <w:multiLevelType w:val="hybridMultilevel"/>
    <w:tmpl w:val="9E28DE0E"/>
    <w:lvl w:ilvl="0" w:tplc="FE826D58">
      <w:start w:val="1"/>
      <w:numFmt w:val="taiwaneseCountingThousand"/>
      <w:lvlText w:val="%1、"/>
      <w:lvlJc w:val="left"/>
      <w:pPr>
        <w:ind w:left="720" w:hanging="720"/>
      </w:pPr>
      <w:rPr>
        <w:rFonts w:hint="default"/>
      </w:rPr>
    </w:lvl>
    <w:lvl w:ilvl="1" w:tplc="70B65BB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56D1D03"/>
    <w:multiLevelType w:val="hybridMultilevel"/>
    <w:tmpl w:val="FFC6DF20"/>
    <w:lvl w:ilvl="0" w:tplc="0B44A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7F32BF"/>
    <w:multiLevelType w:val="hybridMultilevel"/>
    <w:tmpl w:val="055C1C02"/>
    <w:lvl w:ilvl="0" w:tplc="00CCD7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291C21"/>
    <w:multiLevelType w:val="hybridMultilevel"/>
    <w:tmpl w:val="33BC28EC"/>
    <w:lvl w:ilvl="0" w:tplc="EBDE432A">
      <w:start w:val="1"/>
      <w:numFmt w:val="decimal"/>
      <w:lvlText w:val="%1."/>
      <w:lvlJc w:val="left"/>
      <w:pPr>
        <w:ind w:left="360" w:hanging="36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776E81"/>
    <w:multiLevelType w:val="multilevel"/>
    <w:tmpl w:val="38E29ACE"/>
    <w:lvl w:ilvl="0">
      <w:start w:val="1"/>
      <w:numFmt w:val="taiwaneseCountingThousand"/>
      <w:pStyle w:val="1"/>
      <w:suff w:val="nothing"/>
      <w:lvlText w:val="第%1章  "/>
      <w:lvlJc w:val="left"/>
      <w:pPr>
        <w:ind w:left="425" w:hanging="425"/>
      </w:pPr>
      <w:rPr>
        <w:rFonts w:eastAsia="標楷體" w:hint="eastAsia"/>
        <w:sz w:val="40"/>
      </w:rPr>
    </w:lvl>
    <w:lvl w:ilvl="1">
      <w:start w:val="1"/>
      <w:numFmt w:val="taiwaneseCountingThousand"/>
      <w:pStyle w:val="2"/>
      <w:suff w:val="nothing"/>
      <w:lvlText w:val="第%2節"/>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1" w15:restartNumberingAfterBreak="0">
    <w:nsid w:val="638237C8"/>
    <w:multiLevelType w:val="hybridMultilevel"/>
    <w:tmpl w:val="62FAA0BE"/>
    <w:lvl w:ilvl="0" w:tplc="6A6086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7A2DD7"/>
    <w:multiLevelType w:val="hybridMultilevel"/>
    <w:tmpl w:val="2190DFBA"/>
    <w:lvl w:ilvl="0" w:tplc="05447B7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A77EB8"/>
    <w:multiLevelType w:val="hybridMultilevel"/>
    <w:tmpl w:val="BE485736"/>
    <w:lvl w:ilvl="0" w:tplc="A0D6B8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822753"/>
    <w:multiLevelType w:val="hybridMultilevel"/>
    <w:tmpl w:val="F3EC44FC"/>
    <w:lvl w:ilvl="0" w:tplc="E7261988">
      <w:start w:val="2"/>
      <w:numFmt w:val="taiwaneseCountingThousand"/>
      <w:lvlText w:val="%1、"/>
      <w:lvlJc w:val="left"/>
      <w:pPr>
        <w:ind w:left="720" w:hanging="720"/>
      </w:pPr>
      <w:rPr>
        <w:rFonts w:hAnsiTheme="minorHAnsi"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F341D5"/>
    <w:multiLevelType w:val="hybridMultilevel"/>
    <w:tmpl w:val="89A27F8E"/>
    <w:lvl w:ilvl="0" w:tplc="2AA0C86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476ECC"/>
    <w:multiLevelType w:val="hybridMultilevel"/>
    <w:tmpl w:val="72721360"/>
    <w:lvl w:ilvl="0" w:tplc="B45E1F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6"/>
  </w:num>
  <w:num w:numId="3">
    <w:abstractNumId w:val="9"/>
  </w:num>
  <w:num w:numId="4">
    <w:abstractNumId w:val="7"/>
  </w:num>
  <w:num w:numId="5">
    <w:abstractNumId w:val="6"/>
  </w:num>
  <w:num w:numId="6">
    <w:abstractNumId w:val="5"/>
  </w:num>
  <w:num w:numId="7">
    <w:abstractNumId w:val="8"/>
  </w:num>
  <w:num w:numId="8">
    <w:abstractNumId w:val="14"/>
  </w:num>
  <w:num w:numId="9">
    <w:abstractNumId w:val="0"/>
  </w:num>
  <w:num w:numId="10">
    <w:abstractNumId w:val="13"/>
  </w:num>
  <w:num w:numId="11">
    <w:abstractNumId w:val="3"/>
  </w:num>
  <w:num w:numId="12">
    <w:abstractNumId w:val="2"/>
  </w:num>
  <w:num w:numId="13">
    <w:abstractNumId w:val="11"/>
  </w:num>
  <w:num w:numId="14">
    <w:abstractNumId w:val="4"/>
  </w:num>
  <w:num w:numId="15">
    <w:abstractNumId w:val="1"/>
  </w:num>
  <w:num w:numId="16">
    <w:abstractNumId w:val="15"/>
  </w:num>
  <w:num w:numId="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F7"/>
    <w:rsid w:val="00004A2A"/>
    <w:rsid w:val="000079D6"/>
    <w:rsid w:val="00007D32"/>
    <w:rsid w:val="00015623"/>
    <w:rsid w:val="000323D0"/>
    <w:rsid w:val="00042B20"/>
    <w:rsid w:val="00054AD0"/>
    <w:rsid w:val="00057537"/>
    <w:rsid w:val="00065089"/>
    <w:rsid w:val="0006628E"/>
    <w:rsid w:val="000742C0"/>
    <w:rsid w:val="000773AF"/>
    <w:rsid w:val="00080D02"/>
    <w:rsid w:val="000925AF"/>
    <w:rsid w:val="00095F27"/>
    <w:rsid w:val="000D3B3E"/>
    <w:rsid w:val="000D4981"/>
    <w:rsid w:val="000E511F"/>
    <w:rsid w:val="000E7158"/>
    <w:rsid w:val="000F42AF"/>
    <w:rsid w:val="001038F0"/>
    <w:rsid w:val="0011048A"/>
    <w:rsid w:val="0011224C"/>
    <w:rsid w:val="00113046"/>
    <w:rsid w:val="00114691"/>
    <w:rsid w:val="001250C7"/>
    <w:rsid w:val="00125DCD"/>
    <w:rsid w:val="00132D5F"/>
    <w:rsid w:val="00143EC8"/>
    <w:rsid w:val="001447C7"/>
    <w:rsid w:val="001458BA"/>
    <w:rsid w:val="00147B3E"/>
    <w:rsid w:val="00150790"/>
    <w:rsid w:val="00160647"/>
    <w:rsid w:val="001610A3"/>
    <w:rsid w:val="00170912"/>
    <w:rsid w:val="00174C6A"/>
    <w:rsid w:val="00182D83"/>
    <w:rsid w:val="001856E5"/>
    <w:rsid w:val="00197743"/>
    <w:rsid w:val="001A1CCC"/>
    <w:rsid w:val="001B035B"/>
    <w:rsid w:val="001B1685"/>
    <w:rsid w:val="001B3050"/>
    <w:rsid w:val="001B3918"/>
    <w:rsid w:val="001D0BD8"/>
    <w:rsid w:val="001D626A"/>
    <w:rsid w:val="001E2657"/>
    <w:rsid w:val="001E28CF"/>
    <w:rsid w:val="001E40ED"/>
    <w:rsid w:val="001F087C"/>
    <w:rsid w:val="001F34B1"/>
    <w:rsid w:val="001F44E1"/>
    <w:rsid w:val="001F4AF3"/>
    <w:rsid w:val="001F73D7"/>
    <w:rsid w:val="00205498"/>
    <w:rsid w:val="00212050"/>
    <w:rsid w:val="00222977"/>
    <w:rsid w:val="002265E8"/>
    <w:rsid w:val="00233224"/>
    <w:rsid w:val="00235819"/>
    <w:rsid w:val="00244B64"/>
    <w:rsid w:val="002569F5"/>
    <w:rsid w:val="00256A1F"/>
    <w:rsid w:val="00257ECD"/>
    <w:rsid w:val="00261119"/>
    <w:rsid w:val="00263E4B"/>
    <w:rsid w:val="00267B10"/>
    <w:rsid w:val="00292179"/>
    <w:rsid w:val="00292B92"/>
    <w:rsid w:val="00294112"/>
    <w:rsid w:val="002A146D"/>
    <w:rsid w:val="002A3226"/>
    <w:rsid w:val="002C3F3C"/>
    <w:rsid w:val="002C6CB3"/>
    <w:rsid w:val="002D3B6A"/>
    <w:rsid w:val="002D729C"/>
    <w:rsid w:val="002E04B0"/>
    <w:rsid w:val="002E3AE3"/>
    <w:rsid w:val="002E7CD0"/>
    <w:rsid w:val="00300019"/>
    <w:rsid w:val="00300BCA"/>
    <w:rsid w:val="00301D97"/>
    <w:rsid w:val="0030621F"/>
    <w:rsid w:val="0031473F"/>
    <w:rsid w:val="00317507"/>
    <w:rsid w:val="0032440D"/>
    <w:rsid w:val="00334683"/>
    <w:rsid w:val="00340820"/>
    <w:rsid w:val="00342079"/>
    <w:rsid w:val="0034395A"/>
    <w:rsid w:val="003450A2"/>
    <w:rsid w:val="0034682E"/>
    <w:rsid w:val="00346B56"/>
    <w:rsid w:val="00356926"/>
    <w:rsid w:val="00363C94"/>
    <w:rsid w:val="00364218"/>
    <w:rsid w:val="0036779F"/>
    <w:rsid w:val="00383300"/>
    <w:rsid w:val="00397F52"/>
    <w:rsid w:val="003A1CBB"/>
    <w:rsid w:val="003A2E66"/>
    <w:rsid w:val="003B795F"/>
    <w:rsid w:val="003C05D0"/>
    <w:rsid w:val="003C4AA4"/>
    <w:rsid w:val="003D5F77"/>
    <w:rsid w:val="00403FAF"/>
    <w:rsid w:val="004043E8"/>
    <w:rsid w:val="00410F82"/>
    <w:rsid w:val="00412D78"/>
    <w:rsid w:val="00412E66"/>
    <w:rsid w:val="00414001"/>
    <w:rsid w:val="004312D7"/>
    <w:rsid w:val="0043183D"/>
    <w:rsid w:val="00431BF1"/>
    <w:rsid w:val="00433564"/>
    <w:rsid w:val="0043532D"/>
    <w:rsid w:val="00454549"/>
    <w:rsid w:val="00456116"/>
    <w:rsid w:val="00466B25"/>
    <w:rsid w:val="00466FAD"/>
    <w:rsid w:val="00470CD6"/>
    <w:rsid w:val="00474AD9"/>
    <w:rsid w:val="00475DA6"/>
    <w:rsid w:val="00484C16"/>
    <w:rsid w:val="00485B5F"/>
    <w:rsid w:val="00490B17"/>
    <w:rsid w:val="00492B70"/>
    <w:rsid w:val="00494537"/>
    <w:rsid w:val="004A695D"/>
    <w:rsid w:val="004B6377"/>
    <w:rsid w:val="004B6FF5"/>
    <w:rsid w:val="004C594D"/>
    <w:rsid w:val="004C5CE0"/>
    <w:rsid w:val="004D2A6F"/>
    <w:rsid w:val="004D4360"/>
    <w:rsid w:val="004E1355"/>
    <w:rsid w:val="004E2102"/>
    <w:rsid w:val="004F3F8A"/>
    <w:rsid w:val="0051360C"/>
    <w:rsid w:val="00514715"/>
    <w:rsid w:val="00520136"/>
    <w:rsid w:val="00520898"/>
    <w:rsid w:val="005220BB"/>
    <w:rsid w:val="00546EE7"/>
    <w:rsid w:val="00557513"/>
    <w:rsid w:val="005602CB"/>
    <w:rsid w:val="005636A7"/>
    <w:rsid w:val="00576072"/>
    <w:rsid w:val="00577902"/>
    <w:rsid w:val="00581DCF"/>
    <w:rsid w:val="005C4CAE"/>
    <w:rsid w:val="005C6BA4"/>
    <w:rsid w:val="005D50B5"/>
    <w:rsid w:val="005D6D2A"/>
    <w:rsid w:val="005E7590"/>
    <w:rsid w:val="005F4976"/>
    <w:rsid w:val="006128C6"/>
    <w:rsid w:val="006134D8"/>
    <w:rsid w:val="006164F2"/>
    <w:rsid w:val="00616654"/>
    <w:rsid w:val="00637A3A"/>
    <w:rsid w:val="00650E5D"/>
    <w:rsid w:val="00651C06"/>
    <w:rsid w:val="00651E84"/>
    <w:rsid w:val="00654168"/>
    <w:rsid w:val="006571B2"/>
    <w:rsid w:val="006625B6"/>
    <w:rsid w:val="00664D07"/>
    <w:rsid w:val="00677D7F"/>
    <w:rsid w:val="006815C7"/>
    <w:rsid w:val="00685732"/>
    <w:rsid w:val="00691C82"/>
    <w:rsid w:val="00697F67"/>
    <w:rsid w:val="006B7FF5"/>
    <w:rsid w:val="006C32C2"/>
    <w:rsid w:val="006C56A5"/>
    <w:rsid w:val="006C7C7D"/>
    <w:rsid w:val="006D136C"/>
    <w:rsid w:val="006D66F2"/>
    <w:rsid w:val="006D673A"/>
    <w:rsid w:val="006D7514"/>
    <w:rsid w:val="006E258C"/>
    <w:rsid w:val="006F0BBF"/>
    <w:rsid w:val="006F0D4E"/>
    <w:rsid w:val="006F64EF"/>
    <w:rsid w:val="007002B0"/>
    <w:rsid w:val="00701F3E"/>
    <w:rsid w:val="0070416C"/>
    <w:rsid w:val="007139A3"/>
    <w:rsid w:val="00714E8F"/>
    <w:rsid w:val="00720AAB"/>
    <w:rsid w:val="0073135B"/>
    <w:rsid w:val="00737A01"/>
    <w:rsid w:val="00737B58"/>
    <w:rsid w:val="007411F9"/>
    <w:rsid w:val="00750EF6"/>
    <w:rsid w:val="007705BB"/>
    <w:rsid w:val="00777153"/>
    <w:rsid w:val="00785FA0"/>
    <w:rsid w:val="00791415"/>
    <w:rsid w:val="00791A1F"/>
    <w:rsid w:val="00791B48"/>
    <w:rsid w:val="007953C4"/>
    <w:rsid w:val="0079592A"/>
    <w:rsid w:val="007A3DF8"/>
    <w:rsid w:val="007A6797"/>
    <w:rsid w:val="007B333C"/>
    <w:rsid w:val="007C65B2"/>
    <w:rsid w:val="007D3B80"/>
    <w:rsid w:val="007E2FEF"/>
    <w:rsid w:val="007E5D4A"/>
    <w:rsid w:val="00804E88"/>
    <w:rsid w:val="00804FCD"/>
    <w:rsid w:val="008237AB"/>
    <w:rsid w:val="008253FD"/>
    <w:rsid w:val="00832B60"/>
    <w:rsid w:val="0084788A"/>
    <w:rsid w:val="00853B5B"/>
    <w:rsid w:val="008541F6"/>
    <w:rsid w:val="00863C56"/>
    <w:rsid w:val="008774E6"/>
    <w:rsid w:val="008779FF"/>
    <w:rsid w:val="0088026F"/>
    <w:rsid w:val="00884F80"/>
    <w:rsid w:val="00885156"/>
    <w:rsid w:val="008967BF"/>
    <w:rsid w:val="008A134A"/>
    <w:rsid w:val="008A61C9"/>
    <w:rsid w:val="008B117A"/>
    <w:rsid w:val="008B4854"/>
    <w:rsid w:val="008C487D"/>
    <w:rsid w:val="008C55F5"/>
    <w:rsid w:val="008C78DF"/>
    <w:rsid w:val="008D750A"/>
    <w:rsid w:val="008E1497"/>
    <w:rsid w:val="00900BDB"/>
    <w:rsid w:val="0090410D"/>
    <w:rsid w:val="00914BCE"/>
    <w:rsid w:val="009239F7"/>
    <w:rsid w:val="00927663"/>
    <w:rsid w:val="00934AC1"/>
    <w:rsid w:val="00935170"/>
    <w:rsid w:val="00937938"/>
    <w:rsid w:val="00941D15"/>
    <w:rsid w:val="0094568F"/>
    <w:rsid w:val="0095669E"/>
    <w:rsid w:val="0096010B"/>
    <w:rsid w:val="00972897"/>
    <w:rsid w:val="0097454C"/>
    <w:rsid w:val="00986FC3"/>
    <w:rsid w:val="00990B70"/>
    <w:rsid w:val="00992D56"/>
    <w:rsid w:val="0099616D"/>
    <w:rsid w:val="009A43E4"/>
    <w:rsid w:val="009B0551"/>
    <w:rsid w:val="009B54B0"/>
    <w:rsid w:val="009C59DB"/>
    <w:rsid w:val="009F51B5"/>
    <w:rsid w:val="00A03A34"/>
    <w:rsid w:val="00A10EC9"/>
    <w:rsid w:val="00A1391B"/>
    <w:rsid w:val="00A1667C"/>
    <w:rsid w:val="00A264F8"/>
    <w:rsid w:val="00A26FCD"/>
    <w:rsid w:val="00A3263D"/>
    <w:rsid w:val="00A36A48"/>
    <w:rsid w:val="00A41230"/>
    <w:rsid w:val="00A5052D"/>
    <w:rsid w:val="00A5266C"/>
    <w:rsid w:val="00A52729"/>
    <w:rsid w:val="00A5623A"/>
    <w:rsid w:val="00A644EE"/>
    <w:rsid w:val="00A64B6A"/>
    <w:rsid w:val="00A75519"/>
    <w:rsid w:val="00A77FB5"/>
    <w:rsid w:val="00A9793B"/>
    <w:rsid w:val="00AA12EF"/>
    <w:rsid w:val="00AB3B55"/>
    <w:rsid w:val="00AB52C0"/>
    <w:rsid w:val="00AB7B5A"/>
    <w:rsid w:val="00AD0B2B"/>
    <w:rsid w:val="00AD3345"/>
    <w:rsid w:val="00B01552"/>
    <w:rsid w:val="00B02CE4"/>
    <w:rsid w:val="00B10F0F"/>
    <w:rsid w:val="00B1595F"/>
    <w:rsid w:val="00B27840"/>
    <w:rsid w:val="00B32E3F"/>
    <w:rsid w:val="00B438D1"/>
    <w:rsid w:val="00B51C16"/>
    <w:rsid w:val="00B577BD"/>
    <w:rsid w:val="00B61014"/>
    <w:rsid w:val="00B769FD"/>
    <w:rsid w:val="00B76F52"/>
    <w:rsid w:val="00B8043C"/>
    <w:rsid w:val="00B813ED"/>
    <w:rsid w:val="00B84E92"/>
    <w:rsid w:val="00B87720"/>
    <w:rsid w:val="00B92964"/>
    <w:rsid w:val="00B943CA"/>
    <w:rsid w:val="00B95874"/>
    <w:rsid w:val="00BA012B"/>
    <w:rsid w:val="00BA67B5"/>
    <w:rsid w:val="00BA6D3F"/>
    <w:rsid w:val="00BA6EAA"/>
    <w:rsid w:val="00BB7568"/>
    <w:rsid w:val="00BC1563"/>
    <w:rsid w:val="00BC2D0C"/>
    <w:rsid w:val="00BC4AB1"/>
    <w:rsid w:val="00BD0984"/>
    <w:rsid w:val="00BD2A1B"/>
    <w:rsid w:val="00BD338B"/>
    <w:rsid w:val="00BD382B"/>
    <w:rsid w:val="00BD4B55"/>
    <w:rsid w:val="00BD51CD"/>
    <w:rsid w:val="00BE0445"/>
    <w:rsid w:val="00BF0BE9"/>
    <w:rsid w:val="00BF384E"/>
    <w:rsid w:val="00BF74FC"/>
    <w:rsid w:val="00C26C3B"/>
    <w:rsid w:val="00C442B8"/>
    <w:rsid w:val="00C52B2C"/>
    <w:rsid w:val="00C67C87"/>
    <w:rsid w:val="00C744BF"/>
    <w:rsid w:val="00C9084A"/>
    <w:rsid w:val="00C9148E"/>
    <w:rsid w:val="00C94ECF"/>
    <w:rsid w:val="00C960AE"/>
    <w:rsid w:val="00CC1AC3"/>
    <w:rsid w:val="00CD0034"/>
    <w:rsid w:val="00CD00FA"/>
    <w:rsid w:val="00CD2454"/>
    <w:rsid w:val="00CD4515"/>
    <w:rsid w:val="00CE0C28"/>
    <w:rsid w:val="00CE3C84"/>
    <w:rsid w:val="00CE3F80"/>
    <w:rsid w:val="00CE6568"/>
    <w:rsid w:val="00CF2932"/>
    <w:rsid w:val="00CF3C82"/>
    <w:rsid w:val="00CF5AD8"/>
    <w:rsid w:val="00CF738A"/>
    <w:rsid w:val="00D11E36"/>
    <w:rsid w:val="00D120B4"/>
    <w:rsid w:val="00D317CF"/>
    <w:rsid w:val="00D342A9"/>
    <w:rsid w:val="00D42286"/>
    <w:rsid w:val="00D62FCD"/>
    <w:rsid w:val="00D64698"/>
    <w:rsid w:val="00D71F05"/>
    <w:rsid w:val="00D82B21"/>
    <w:rsid w:val="00D83C82"/>
    <w:rsid w:val="00D86DB0"/>
    <w:rsid w:val="00D913D1"/>
    <w:rsid w:val="00D9334C"/>
    <w:rsid w:val="00D93FD2"/>
    <w:rsid w:val="00DB0896"/>
    <w:rsid w:val="00DC5367"/>
    <w:rsid w:val="00DC6DA5"/>
    <w:rsid w:val="00DD2939"/>
    <w:rsid w:val="00DD7095"/>
    <w:rsid w:val="00DE20E8"/>
    <w:rsid w:val="00DE664A"/>
    <w:rsid w:val="00DF6D23"/>
    <w:rsid w:val="00E01A97"/>
    <w:rsid w:val="00E02996"/>
    <w:rsid w:val="00E02AC0"/>
    <w:rsid w:val="00E055C8"/>
    <w:rsid w:val="00E07110"/>
    <w:rsid w:val="00E07168"/>
    <w:rsid w:val="00E143B3"/>
    <w:rsid w:val="00E2382B"/>
    <w:rsid w:val="00E34601"/>
    <w:rsid w:val="00E57221"/>
    <w:rsid w:val="00E6579D"/>
    <w:rsid w:val="00E718CF"/>
    <w:rsid w:val="00E862A0"/>
    <w:rsid w:val="00E87647"/>
    <w:rsid w:val="00E906AD"/>
    <w:rsid w:val="00E913FA"/>
    <w:rsid w:val="00E94F6A"/>
    <w:rsid w:val="00E9514E"/>
    <w:rsid w:val="00EA5380"/>
    <w:rsid w:val="00EA6C74"/>
    <w:rsid w:val="00EB149B"/>
    <w:rsid w:val="00EC1C5E"/>
    <w:rsid w:val="00EE3F46"/>
    <w:rsid w:val="00EF29EB"/>
    <w:rsid w:val="00F058ED"/>
    <w:rsid w:val="00F05C85"/>
    <w:rsid w:val="00F061D3"/>
    <w:rsid w:val="00F0772A"/>
    <w:rsid w:val="00F253FB"/>
    <w:rsid w:val="00F25A00"/>
    <w:rsid w:val="00F350C9"/>
    <w:rsid w:val="00F40B52"/>
    <w:rsid w:val="00F4125F"/>
    <w:rsid w:val="00F46088"/>
    <w:rsid w:val="00F47E27"/>
    <w:rsid w:val="00F64EAC"/>
    <w:rsid w:val="00F815EE"/>
    <w:rsid w:val="00F82495"/>
    <w:rsid w:val="00F833F1"/>
    <w:rsid w:val="00F90123"/>
    <w:rsid w:val="00FA268D"/>
    <w:rsid w:val="00FA38FF"/>
    <w:rsid w:val="00FB52B7"/>
    <w:rsid w:val="00FB7BF7"/>
    <w:rsid w:val="00FC2606"/>
    <w:rsid w:val="00FD5EAB"/>
    <w:rsid w:val="00FE63F3"/>
    <w:rsid w:val="00FF64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E3A579-41F9-49DF-925D-A91C3C69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BF7"/>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546EE7"/>
    <w:pPr>
      <w:keepNext/>
      <w:numPr>
        <w:numId w:val="1"/>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46EE7"/>
    <w:pPr>
      <w:keepNext/>
      <w:numPr>
        <w:ilvl w:val="1"/>
        <w:numId w:val="1"/>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46EE7"/>
    <w:pPr>
      <w:keepNext/>
      <w:numPr>
        <w:ilvl w:val="2"/>
        <w:numId w:val="1"/>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46EE7"/>
    <w:pPr>
      <w:keepNext/>
      <w:numPr>
        <w:ilvl w:val="3"/>
        <w:numId w:val="1"/>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546EE7"/>
    <w:pPr>
      <w:keepNext/>
      <w:numPr>
        <w:ilvl w:val="4"/>
        <w:numId w:val="1"/>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546EE7"/>
    <w:pPr>
      <w:keepNext/>
      <w:numPr>
        <w:ilvl w:val="5"/>
        <w:numId w:val="1"/>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546EE7"/>
    <w:pPr>
      <w:keepNext/>
      <w:numPr>
        <w:ilvl w:val="6"/>
        <w:numId w:val="1"/>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546EE7"/>
    <w:pPr>
      <w:keepNext/>
      <w:numPr>
        <w:ilvl w:val="7"/>
        <w:numId w:val="1"/>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546EE7"/>
    <w:pPr>
      <w:keepNext/>
      <w:numPr>
        <w:ilvl w:val="8"/>
        <w:numId w:val="1"/>
      </w:numPr>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46EE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546EE7"/>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546EE7"/>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546EE7"/>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546EE7"/>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546EE7"/>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546EE7"/>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546EE7"/>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546EE7"/>
    <w:rPr>
      <w:rFonts w:asciiTheme="majorHAnsi" w:eastAsiaTheme="majorEastAsia" w:hAnsiTheme="majorHAnsi" w:cstheme="majorBidi"/>
      <w:sz w:val="36"/>
      <w:szCs w:val="36"/>
    </w:rPr>
  </w:style>
  <w:style w:type="paragraph" w:customStyle="1" w:styleId="TableParagraph">
    <w:name w:val="Table Paragraph"/>
    <w:basedOn w:val="a"/>
    <w:uiPriority w:val="1"/>
    <w:qFormat/>
    <w:rsid w:val="00546EE7"/>
    <w:pPr>
      <w:autoSpaceDE w:val="0"/>
      <w:autoSpaceDN w:val="0"/>
      <w:spacing w:line="298" w:lineRule="exact"/>
      <w:jc w:val="right"/>
    </w:pPr>
    <w:rPr>
      <w:rFonts w:ascii="Noto Sans Mono CJK JP Regular" w:eastAsia="Noto Sans Mono CJK JP Regular" w:hAnsi="Noto Sans Mono CJK JP Regular" w:cs="Noto Sans Mono CJK JP Regular"/>
      <w:kern w:val="0"/>
      <w:sz w:val="22"/>
      <w:lang w:val="zh-TW" w:bidi="zh-TW"/>
    </w:rPr>
  </w:style>
  <w:style w:type="paragraph" w:styleId="11">
    <w:name w:val="toc 1"/>
    <w:basedOn w:val="a"/>
    <w:next w:val="a"/>
    <w:autoRedefine/>
    <w:uiPriority w:val="39"/>
    <w:unhideWhenUsed/>
    <w:qFormat/>
    <w:rsid w:val="00546EE7"/>
    <w:pPr>
      <w:widowControl/>
      <w:tabs>
        <w:tab w:val="right" w:leader="dot" w:pos="8653"/>
      </w:tabs>
      <w:spacing w:after="100" w:line="276" w:lineRule="auto"/>
    </w:pPr>
    <w:rPr>
      <w:rFonts w:ascii="標楷體" w:eastAsia="標楷體" w:hAnsi="標楷體"/>
      <w:b/>
      <w:noProof/>
      <w:kern w:val="0"/>
    </w:rPr>
  </w:style>
  <w:style w:type="paragraph" w:styleId="21">
    <w:name w:val="toc 2"/>
    <w:basedOn w:val="a"/>
    <w:next w:val="a"/>
    <w:autoRedefine/>
    <w:uiPriority w:val="39"/>
    <w:unhideWhenUsed/>
    <w:qFormat/>
    <w:rsid w:val="00546EE7"/>
    <w:pPr>
      <w:widowControl/>
      <w:spacing w:after="100" w:line="276" w:lineRule="auto"/>
      <w:ind w:left="220"/>
    </w:pPr>
    <w:rPr>
      <w:kern w:val="0"/>
      <w:sz w:val="22"/>
    </w:rPr>
  </w:style>
  <w:style w:type="paragraph" w:styleId="31">
    <w:name w:val="toc 3"/>
    <w:basedOn w:val="a"/>
    <w:next w:val="a"/>
    <w:autoRedefine/>
    <w:uiPriority w:val="39"/>
    <w:unhideWhenUsed/>
    <w:qFormat/>
    <w:rsid w:val="00546EE7"/>
    <w:pPr>
      <w:widowControl/>
      <w:spacing w:after="100" w:line="276" w:lineRule="auto"/>
      <w:ind w:left="440"/>
    </w:pPr>
    <w:rPr>
      <w:kern w:val="0"/>
      <w:sz w:val="22"/>
    </w:rPr>
  </w:style>
  <w:style w:type="paragraph" w:styleId="a3">
    <w:name w:val="caption"/>
    <w:basedOn w:val="a"/>
    <w:next w:val="a"/>
    <w:uiPriority w:val="35"/>
    <w:unhideWhenUsed/>
    <w:qFormat/>
    <w:rsid w:val="00546EE7"/>
    <w:rPr>
      <w:sz w:val="20"/>
      <w:szCs w:val="20"/>
    </w:rPr>
  </w:style>
  <w:style w:type="paragraph" w:styleId="a4">
    <w:name w:val="Title"/>
    <w:basedOn w:val="a"/>
    <w:next w:val="a"/>
    <w:link w:val="a5"/>
    <w:uiPriority w:val="10"/>
    <w:qFormat/>
    <w:rsid w:val="00546EE7"/>
    <w:pPr>
      <w:spacing w:before="240" w:after="60"/>
      <w:outlineLvl w:val="0"/>
    </w:pPr>
    <w:rPr>
      <w:rFonts w:asciiTheme="majorHAnsi" w:eastAsia="標楷體" w:hAnsiTheme="majorHAnsi" w:cstheme="majorBidi"/>
      <w:bCs/>
      <w:szCs w:val="32"/>
    </w:rPr>
  </w:style>
  <w:style w:type="character" w:customStyle="1" w:styleId="a5">
    <w:name w:val="標題 字元"/>
    <w:basedOn w:val="a0"/>
    <w:link w:val="a4"/>
    <w:uiPriority w:val="10"/>
    <w:rsid w:val="00546EE7"/>
    <w:rPr>
      <w:rFonts w:asciiTheme="majorHAnsi" w:eastAsia="標楷體" w:hAnsiTheme="majorHAnsi" w:cstheme="majorBidi"/>
      <w:bCs/>
      <w:szCs w:val="32"/>
    </w:rPr>
  </w:style>
  <w:style w:type="paragraph" w:styleId="a6">
    <w:name w:val="No Spacing"/>
    <w:link w:val="a7"/>
    <w:uiPriority w:val="1"/>
    <w:qFormat/>
    <w:rsid w:val="00546EE7"/>
    <w:rPr>
      <w:kern w:val="0"/>
      <w:sz w:val="22"/>
    </w:rPr>
  </w:style>
  <w:style w:type="character" w:customStyle="1" w:styleId="a7">
    <w:name w:val="無間距 字元"/>
    <w:basedOn w:val="a0"/>
    <w:link w:val="a6"/>
    <w:uiPriority w:val="1"/>
    <w:rsid w:val="00546EE7"/>
    <w:rPr>
      <w:kern w:val="0"/>
      <w:sz w:val="22"/>
    </w:rPr>
  </w:style>
  <w:style w:type="paragraph" w:styleId="a8">
    <w:name w:val="List Paragraph"/>
    <w:basedOn w:val="a"/>
    <w:uiPriority w:val="34"/>
    <w:qFormat/>
    <w:rsid w:val="00546EE7"/>
    <w:pPr>
      <w:ind w:leftChars="200" w:left="480"/>
    </w:pPr>
  </w:style>
  <w:style w:type="paragraph" w:styleId="a9">
    <w:name w:val="TOC Heading"/>
    <w:basedOn w:val="1"/>
    <w:next w:val="a"/>
    <w:uiPriority w:val="39"/>
    <w:unhideWhenUsed/>
    <w:qFormat/>
    <w:rsid w:val="00546EE7"/>
    <w:pPr>
      <w:keepLines/>
      <w:widowControl/>
      <w:numPr>
        <w:numId w:val="0"/>
      </w:numPr>
      <w:spacing w:before="480" w:after="0" w:line="276" w:lineRule="auto"/>
      <w:outlineLvl w:val="9"/>
    </w:pPr>
    <w:rPr>
      <w:color w:val="2E74B5" w:themeColor="accent1" w:themeShade="BF"/>
      <w:kern w:val="0"/>
      <w:sz w:val="28"/>
      <w:szCs w:val="28"/>
    </w:rPr>
  </w:style>
  <w:style w:type="table" w:styleId="aa">
    <w:name w:val="Table Grid"/>
    <w:basedOn w:val="a1"/>
    <w:uiPriority w:val="39"/>
    <w:rsid w:val="00FB7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7BF7"/>
    <w:pPr>
      <w:tabs>
        <w:tab w:val="center" w:pos="4153"/>
        <w:tab w:val="right" w:pos="8306"/>
      </w:tabs>
      <w:snapToGrid w:val="0"/>
    </w:pPr>
    <w:rPr>
      <w:sz w:val="20"/>
      <w:szCs w:val="20"/>
    </w:rPr>
  </w:style>
  <w:style w:type="character" w:customStyle="1" w:styleId="ac">
    <w:name w:val="頁首 字元"/>
    <w:basedOn w:val="a0"/>
    <w:link w:val="ab"/>
    <w:uiPriority w:val="99"/>
    <w:rsid w:val="00FB7BF7"/>
    <w:rPr>
      <w:rFonts w:ascii="Times New Roman" w:eastAsia="新細明體" w:hAnsi="Times New Roman" w:cs="Times New Roman"/>
      <w:sz w:val="20"/>
      <w:szCs w:val="20"/>
    </w:rPr>
  </w:style>
  <w:style w:type="paragraph" w:styleId="ad">
    <w:name w:val="footer"/>
    <w:basedOn w:val="a"/>
    <w:link w:val="ae"/>
    <w:uiPriority w:val="99"/>
    <w:unhideWhenUsed/>
    <w:rsid w:val="00FB7BF7"/>
    <w:pPr>
      <w:tabs>
        <w:tab w:val="center" w:pos="4153"/>
        <w:tab w:val="right" w:pos="8306"/>
      </w:tabs>
      <w:snapToGrid w:val="0"/>
    </w:pPr>
    <w:rPr>
      <w:sz w:val="20"/>
      <w:szCs w:val="20"/>
    </w:rPr>
  </w:style>
  <w:style w:type="character" w:customStyle="1" w:styleId="ae">
    <w:name w:val="頁尾 字元"/>
    <w:basedOn w:val="a0"/>
    <w:link w:val="ad"/>
    <w:uiPriority w:val="99"/>
    <w:rsid w:val="00FB7BF7"/>
    <w:rPr>
      <w:rFonts w:ascii="Times New Roman" w:eastAsia="新細明體" w:hAnsi="Times New Roman" w:cs="Times New Roman"/>
      <w:sz w:val="20"/>
      <w:szCs w:val="20"/>
    </w:rPr>
  </w:style>
  <w:style w:type="character" w:customStyle="1" w:styleId="af">
    <w:name w:val="註解方塊文字 字元"/>
    <w:basedOn w:val="a0"/>
    <w:link w:val="af0"/>
    <w:uiPriority w:val="99"/>
    <w:semiHidden/>
    <w:rsid w:val="00FB7BF7"/>
    <w:rPr>
      <w:rFonts w:asciiTheme="majorHAnsi" w:eastAsiaTheme="majorEastAsia" w:hAnsiTheme="majorHAnsi" w:cstheme="majorBidi"/>
      <w:sz w:val="18"/>
      <w:szCs w:val="18"/>
    </w:rPr>
  </w:style>
  <w:style w:type="paragraph" w:styleId="af0">
    <w:name w:val="Balloon Text"/>
    <w:basedOn w:val="a"/>
    <w:link w:val="af"/>
    <w:uiPriority w:val="99"/>
    <w:semiHidden/>
    <w:unhideWhenUsed/>
    <w:rsid w:val="00FB7BF7"/>
    <w:rPr>
      <w:rFonts w:asciiTheme="majorHAnsi" w:eastAsiaTheme="majorEastAsia" w:hAnsiTheme="majorHAnsi" w:cstheme="majorBidi"/>
      <w:sz w:val="18"/>
      <w:szCs w:val="18"/>
    </w:rPr>
  </w:style>
  <w:style w:type="paragraph" w:customStyle="1" w:styleId="Default">
    <w:name w:val="Default"/>
    <w:rsid w:val="00FB7BF7"/>
    <w:pPr>
      <w:widowControl w:val="0"/>
      <w:autoSpaceDE w:val="0"/>
      <w:autoSpaceDN w:val="0"/>
      <w:adjustRightInd w:val="0"/>
    </w:pPr>
    <w:rPr>
      <w:rFonts w:ascii="標楷體" w:eastAsia="標楷體" w:cs="標楷體"/>
      <w:color w:val="000000"/>
      <w:kern w:val="0"/>
      <w:szCs w:val="24"/>
    </w:rPr>
  </w:style>
  <w:style w:type="character" w:customStyle="1" w:styleId="w51">
    <w:name w:val="w51"/>
    <w:basedOn w:val="a0"/>
    <w:rsid w:val="00FB7BF7"/>
    <w:rPr>
      <w:sz w:val="24"/>
      <w:szCs w:val="24"/>
    </w:rPr>
  </w:style>
  <w:style w:type="paragraph" w:styleId="af1">
    <w:name w:val="Note Heading"/>
    <w:basedOn w:val="a"/>
    <w:next w:val="a"/>
    <w:link w:val="af2"/>
    <w:uiPriority w:val="99"/>
    <w:unhideWhenUsed/>
    <w:rsid w:val="00FB7BF7"/>
    <w:pPr>
      <w:jc w:val="center"/>
    </w:pPr>
    <w:rPr>
      <w:rFonts w:ascii="標楷體" w:eastAsia="標楷體" w:hAnsi="標楷體" w:cs="DFKaiShu-SB-Estd-BF"/>
      <w:kern w:val="0"/>
      <w:sz w:val="28"/>
      <w:szCs w:val="28"/>
    </w:rPr>
  </w:style>
  <w:style w:type="character" w:customStyle="1" w:styleId="af2">
    <w:name w:val="註釋標題 字元"/>
    <w:basedOn w:val="a0"/>
    <w:link w:val="af1"/>
    <w:uiPriority w:val="99"/>
    <w:rsid w:val="00FB7BF7"/>
    <w:rPr>
      <w:rFonts w:ascii="標楷體" w:eastAsia="標楷體" w:hAnsi="標楷體" w:cs="DFKaiShu-SB-Estd-BF"/>
      <w:kern w:val="0"/>
      <w:sz w:val="28"/>
      <w:szCs w:val="28"/>
    </w:rPr>
  </w:style>
  <w:style w:type="paragraph" w:styleId="af3">
    <w:name w:val="Closing"/>
    <w:basedOn w:val="a"/>
    <w:link w:val="af4"/>
    <w:uiPriority w:val="99"/>
    <w:unhideWhenUsed/>
    <w:rsid w:val="00FB7BF7"/>
    <w:pPr>
      <w:ind w:leftChars="1800" w:left="100"/>
    </w:pPr>
    <w:rPr>
      <w:rFonts w:ascii="標楷體" w:eastAsia="標楷體" w:hAnsi="標楷體" w:cs="DFKaiShu-SB-Estd-BF"/>
      <w:kern w:val="0"/>
      <w:sz w:val="28"/>
      <w:szCs w:val="28"/>
    </w:rPr>
  </w:style>
  <w:style w:type="character" w:customStyle="1" w:styleId="af4">
    <w:name w:val="結語 字元"/>
    <w:basedOn w:val="a0"/>
    <w:link w:val="af3"/>
    <w:uiPriority w:val="99"/>
    <w:rsid w:val="00FB7BF7"/>
    <w:rPr>
      <w:rFonts w:ascii="標楷體" w:eastAsia="標楷體" w:hAnsi="標楷體" w:cs="DFKaiShu-SB-Estd-BF"/>
      <w:kern w:val="0"/>
      <w:sz w:val="28"/>
      <w:szCs w:val="28"/>
    </w:rPr>
  </w:style>
  <w:style w:type="paragraph" w:styleId="af5">
    <w:name w:val="annotation text"/>
    <w:basedOn w:val="a"/>
    <w:link w:val="af6"/>
    <w:uiPriority w:val="99"/>
    <w:semiHidden/>
    <w:unhideWhenUsed/>
    <w:rsid w:val="00FB7BF7"/>
  </w:style>
  <w:style w:type="character" w:customStyle="1" w:styleId="af6">
    <w:name w:val="註解文字 字元"/>
    <w:basedOn w:val="a0"/>
    <w:link w:val="af5"/>
    <w:uiPriority w:val="99"/>
    <w:semiHidden/>
    <w:rsid w:val="00FB7BF7"/>
    <w:rPr>
      <w:rFonts w:ascii="Times New Roman" w:eastAsia="新細明體" w:hAnsi="Times New Roman" w:cs="Times New Roman"/>
      <w:szCs w:val="24"/>
    </w:rPr>
  </w:style>
  <w:style w:type="character" w:customStyle="1" w:styleId="af7">
    <w:name w:val="註解主旨 字元"/>
    <w:basedOn w:val="af6"/>
    <w:link w:val="af8"/>
    <w:uiPriority w:val="99"/>
    <w:semiHidden/>
    <w:rsid w:val="00FB7BF7"/>
    <w:rPr>
      <w:rFonts w:ascii="Times New Roman" w:eastAsia="新細明體" w:hAnsi="Times New Roman" w:cs="Times New Roman"/>
      <w:b/>
      <w:bCs/>
      <w:szCs w:val="24"/>
    </w:rPr>
  </w:style>
  <w:style w:type="paragraph" w:styleId="af8">
    <w:name w:val="annotation subject"/>
    <w:basedOn w:val="af5"/>
    <w:next w:val="af5"/>
    <w:link w:val="af7"/>
    <w:uiPriority w:val="99"/>
    <w:semiHidden/>
    <w:unhideWhenUsed/>
    <w:rsid w:val="00FB7BF7"/>
    <w:rPr>
      <w:b/>
      <w:bCs/>
    </w:rPr>
  </w:style>
  <w:style w:type="paragraph" w:customStyle="1" w:styleId="af9">
    <w:name w:val="字元"/>
    <w:basedOn w:val="a"/>
    <w:rsid w:val="00D62FCD"/>
    <w:pPr>
      <w:widowControl/>
      <w:spacing w:after="160" w:line="240" w:lineRule="exact"/>
    </w:pPr>
    <w:rPr>
      <w:rFonts w:ascii="Tahoma" w:hAnsi="Tahoma"/>
      <w:kern w:val="0"/>
      <w:sz w:val="20"/>
      <w:szCs w:val="20"/>
      <w:lang w:eastAsia="en-US"/>
    </w:rPr>
  </w:style>
  <w:style w:type="paragraph" w:customStyle="1" w:styleId="afa">
    <w:name w:val="令.項"/>
    <w:basedOn w:val="a"/>
    <w:rsid w:val="00D62FCD"/>
    <w:pPr>
      <w:adjustRightInd w:val="0"/>
      <w:spacing w:line="440" w:lineRule="exact"/>
      <w:ind w:leftChars="500" w:left="500" w:firstLineChars="200" w:firstLine="200"/>
      <w:jc w:val="both"/>
      <w:textAlignment w:val="baseline"/>
    </w:pPr>
    <w:rPr>
      <w:rFonts w:eastAsia="標楷體"/>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27911">
      <w:bodyDiv w:val="1"/>
      <w:marLeft w:val="0"/>
      <w:marRight w:val="0"/>
      <w:marTop w:val="0"/>
      <w:marBottom w:val="0"/>
      <w:divBdr>
        <w:top w:val="none" w:sz="0" w:space="0" w:color="auto"/>
        <w:left w:val="none" w:sz="0" w:space="0" w:color="auto"/>
        <w:bottom w:val="none" w:sz="0" w:space="0" w:color="auto"/>
        <w:right w:val="none" w:sz="0" w:space="0" w:color="auto"/>
      </w:divBdr>
    </w:div>
    <w:div w:id="3213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88652-86F8-4BFF-981D-BE4012DC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878</Words>
  <Characters>5006</Characters>
  <Application>Microsoft Office Word</Application>
  <DocSecurity>0</DocSecurity>
  <Lines>41</Lines>
  <Paragraphs>11</Paragraphs>
  <ScaleCrop>false</ScaleCrop>
  <Company>Microsoft</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hakka105</cp:lastModifiedBy>
  <cp:revision>8</cp:revision>
  <cp:lastPrinted>2020-03-10T08:23:00Z</cp:lastPrinted>
  <dcterms:created xsi:type="dcterms:W3CDTF">2020-04-28T02:01:00Z</dcterms:created>
  <dcterms:modified xsi:type="dcterms:W3CDTF">2020-05-25T00:40:00Z</dcterms:modified>
</cp:coreProperties>
</file>