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FB" w:rsidRPr="00292A9C" w:rsidRDefault="00BD14FB" w:rsidP="00BD14FB">
      <w:pPr>
        <w:jc w:val="center"/>
        <w:rPr>
          <w:rFonts w:ascii="標楷體" w:eastAsia="標楷體" w:hAnsi="標楷體"/>
          <w:sz w:val="36"/>
          <w:szCs w:val="36"/>
        </w:rPr>
      </w:pPr>
      <w:r w:rsidRPr="00292A9C">
        <w:rPr>
          <w:rFonts w:ascii="標楷體" w:eastAsia="標楷體" w:hAnsi="標楷體" w:hint="eastAsia"/>
          <w:sz w:val="36"/>
          <w:szCs w:val="36"/>
        </w:rPr>
        <w:t>高 雄 市 議 會 舉 辦 公 聽 會 邀 請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BD14FB" w:rsidRPr="00F91A31" w:rsidTr="007D396C">
        <w:tc>
          <w:tcPr>
            <w:tcW w:w="1555" w:type="dxa"/>
          </w:tcPr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名    稱</w:t>
            </w:r>
          </w:p>
        </w:tc>
        <w:tc>
          <w:tcPr>
            <w:tcW w:w="6741" w:type="dxa"/>
          </w:tcPr>
          <w:p w:rsidR="00BD14FB" w:rsidRPr="004A3B45" w:rsidRDefault="00BD14FB" w:rsidP="00E251E3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高雄鐵路地下化</w:t>
            </w:r>
            <w:r w:rsidR="00E251E3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之整體規劃與未來發展</w:t>
            </w:r>
            <w:r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公聽會</w:t>
            </w:r>
          </w:p>
        </w:tc>
      </w:tr>
      <w:tr w:rsidR="00BD14FB" w:rsidRPr="00292A9C" w:rsidTr="007D396C">
        <w:trPr>
          <w:trHeight w:val="383"/>
        </w:trPr>
        <w:tc>
          <w:tcPr>
            <w:tcW w:w="1555" w:type="dxa"/>
          </w:tcPr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日     期</w:t>
            </w:r>
          </w:p>
        </w:tc>
        <w:tc>
          <w:tcPr>
            <w:tcW w:w="6741" w:type="dxa"/>
          </w:tcPr>
          <w:p w:rsidR="00BD14FB" w:rsidRPr="004A3B45" w:rsidRDefault="00BD14FB" w:rsidP="00FE109F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中華民國104年</w:t>
            </w:r>
            <w:r w:rsidR="00FE109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E109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日（星期</w:t>
            </w:r>
            <w:r w:rsidR="00EE5CF7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）上午10:00-12:00</w:t>
            </w:r>
          </w:p>
        </w:tc>
      </w:tr>
      <w:tr w:rsidR="00BD14FB" w:rsidRPr="00292A9C" w:rsidTr="007D396C">
        <w:tc>
          <w:tcPr>
            <w:tcW w:w="1555" w:type="dxa"/>
          </w:tcPr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地     點</w:t>
            </w:r>
          </w:p>
        </w:tc>
        <w:tc>
          <w:tcPr>
            <w:tcW w:w="6741" w:type="dxa"/>
          </w:tcPr>
          <w:p w:rsidR="00EE5CF7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高雄市議會1樓第一會議室</w:t>
            </w:r>
          </w:p>
          <w:p w:rsidR="00BD14FB" w:rsidRPr="004A3B45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（高雄市鳳山區國泰路二段156號）</w:t>
            </w:r>
          </w:p>
        </w:tc>
      </w:tr>
      <w:tr w:rsidR="00BD14FB" w:rsidRPr="00292A9C" w:rsidTr="007D396C">
        <w:tc>
          <w:tcPr>
            <w:tcW w:w="1555" w:type="dxa"/>
          </w:tcPr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主  持 人</w:t>
            </w:r>
          </w:p>
        </w:tc>
        <w:tc>
          <w:tcPr>
            <w:tcW w:w="6741" w:type="dxa"/>
          </w:tcPr>
          <w:p w:rsidR="00BD14FB" w:rsidRPr="004A3B45" w:rsidRDefault="00E251E3" w:rsidP="00E251E3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何權峰議員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D14FB" w:rsidRPr="00BD14FB">
              <w:rPr>
                <w:rFonts w:ascii="標楷體" w:eastAsia="標楷體" w:hAnsi="標楷體" w:hint="eastAsia"/>
                <w:sz w:val="26"/>
                <w:szCs w:val="26"/>
              </w:rPr>
              <w:t>簡煥宗議員</w:t>
            </w:r>
            <w:r w:rsidR="00BD14F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D14FB" w:rsidRPr="00BD14FB">
              <w:rPr>
                <w:rFonts w:ascii="標楷體" w:eastAsia="標楷體" w:hAnsi="標楷體" w:hint="eastAsia"/>
                <w:sz w:val="26"/>
                <w:szCs w:val="26"/>
              </w:rPr>
              <w:t>羅鼎城議員</w:t>
            </w:r>
            <w:r w:rsidR="00BD14F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D14FB" w:rsidRPr="00BD14FB">
              <w:rPr>
                <w:rFonts w:ascii="標楷體" w:eastAsia="標楷體" w:hAnsi="標楷體" w:hint="eastAsia"/>
                <w:sz w:val="26"/>
                <w:szCs w:val="26"/>
              </w:rPr>
              <w:t>李柏毅議員</w:t>
            </w:r>
          </w:p>
        </w:tc>
      </w:tr>
      <w:tr w:rsidR="00BD14FB" w:rsidRPr="00292A9C" w:rsidTr="007D396C">
        <w:tc>
          <w:tcPr>
            <w:tcW w:w="1555" w:type="dxa"/>
          </w:tcPr>
          <w:p w:rsidR="00846CE1" w:rsidRDefault="00846CE1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出列席</w:t>
            </w:r>
          </w:p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6741" w:type="dxa"/>
          </w:tcPr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交通部鐵路改建工程局</w:t>
            </w:r>
            <w:r w:rsidR="00EE5CF7">
              <w:rPr>
                <w:rFonts w:ascii="標楷體" w:eastAsia="標楷體" w:hAnsi="標楷體" w:hint="eastAsia"/>
                <w:sz w:val="26"/>
                <w:szCs w:val="26"/>
              </w:rPr>
              <w:t>南部工程處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交通部臺灣鐵路管理局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高雄市政府工務局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高雄市政府都</w:t>
            </w:r>
            <w:r w:rsidR="001422EE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發</w:t>
            </w:r>
            <w:r w:rsidR="001422EE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高雄市政府地政局</w:t>
            </w:r>
          </w:p>
          <w:p w:rsid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高雄市政府交通局</w:t>
            </w:r>
          </w:p>
          <w:p w:rsidR="001B0574" w:rsidRDefault="001B0574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高雄市政府農業局</w:t>
            </w:r>
          </w:p>
          <w:p w:rsidR="001B0574" w:rsidRPr="0001086C" w:rsidRDefault="001B0574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高雄市政府文化局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高雄市政府研究發展考核委員會</w:t>
            </w:r>
          </w:p>
          <w:p w:rsidR="0001086C" w:rsidRPr="0001086C" w:rsidRDefault="0001086C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高雄市政府經濟發展局</w:t>
            </w:r>
          </w:p>
          <w:p w:rsidR="00731D86" w:rsidRDefault="0001086C" w:rsidP="00731D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高雄市政府捷運工程局</w:t>
            </w:r>
          </w:p>
          <w:p w:rsidR="002D4E74" w:rsidRDefault="00731D86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高雄市政府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觀光</w:t>
            </w: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  <w:p w:rsidR="00BB7BF9" w:rsidRPr="00BB7BF9" w:rsidRDefault="00BB7BF9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三民區區長</w:t>
            </w:r>
          </w:p>
          <w:p w:rsidR="000711D8" w:rsidRDefault="00825F36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="000711D8">
              <w:rPr>
                <w:rFonts w:ascii="標楷體" w:eastAsia="標楷體" w:hAnsi="標楷體" w:hint="eastAsia"/>
                <w:sz w:val="26"/>
                <w:szCs w:val="26"/>
              </w:rPr>
              <w:t>鳳山</w:t>
            </w:r>
            <w:proofErr w:type="gramStart"/>
            <w:r w:rsidR="000711D8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proofErr w:type="gramEnd"/>
            <w:r w:rsidR="000711D8">
              <w:rPr>
                <w:rFonts w:ascii="標楷體" w:eastAsia="標楷體" w:hAnsi="標楷體" w:hint="eastAsia"/>
                <w:sz w:val="26"/>
                <w:szCs w:val="26"/>
              </w:rPr>
              <w:t>區長</w:t>
            </w:r>
          </w:p>
          <w:p w:rsidR="000711D8" w:rsidRDefault="00825F36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="000711D8">
              <w:rPr>
                <w:rFonts w:ascii="標楷體" w:eastAsia="標楷體" w:hAnsi="標楷體" w:hint="eastAsia"/>
                <w:sz w:val="26"/>
                <w:szCs w:val="26"/>
              </w:rPr>
              <w:t>鼓山區區長</w:t>
            </w:r>
          </w:p>
          <w:p w:rsidR="000711D8" w:rsidRDefault="00825F36" w:rsidP="000108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86C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="000711D8">
              <w:rPr>
                <w:rFonts w:ascii="標楷體" w:eastAsia="標楷體" w:hAnsi="標楷體" w:hint="eastAsia"/>
                <w:sz w:val="26"/>
                <w:szCs w:val="26"/>
              </w:rPr>
              <w:t>左營區區長</w:t>
            </w:r>
          </w:p>
          <w:p w:rsidR="00986F27" w:rsidRPr="00986F27" w:rsidRDefault="00986F27" w:rsidP="00986F2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6F27">
              <w:rPr>
                <w:rFonts w:ascii="標楷體" w:eastAsia="標楷體" w:hAnsi="標楷體" w:hint="eastAsia"/>
                <w:sz w:val="26"/>
                <w:szCs w:val="26"/>
              </w:rPr>
              <w:t>國立成功大學都市計畫學系林</w:t>
            </w:r>
            <w:r w:rsidR="0086183A" w:rsidRPr="00986F27">
              <w:rPr>
                <w:rFonts w:ascii="標楷體" w:eastAsia="標楷體" w:hAnsi="標楷體" w:hint="eastAsia"/>
                <w:sz w:val="26"/>
                <w:szCs w:val="26"/>
              </w:rPr>
              <w:t>助理教授</w:t>
            </w:r>
            <w:r w:rsidRPr="00986F27">
              <w:rPr>
                <w:rFonts w:ascii="標楷體" w:eastAsia="標楷體" w:hAnsi="標楷體" w:hint="eastAsia"/>
                <w:sz w:val="26"/>
                <w:szCs w:val="26"/>
              </w:rPr>
              <w:t>漢良</w:t>
            </w:r>
          </w:p>
          <w:p w:rsidR="0086183A" w:rsidRDefault="00DE65E8" w:rsidP="008618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6F27">
              <w:rPr>
                <w:rFonts w:ascii="標楷體" w:eastAsia="標楷體" w:hAnsi="標楷體" w:hint="eastAsia"/>
                <w:sz w:val="26"/>
                <w:szCs w:val="26"/>
              </w:rPr>
              <w:t>國立成功大學</w:t>
            </w:r>
            <w:r w:rsidR="004E751A" w:rsidRPr="004E751A">
              <w:rPr>
                <w:rFonts w:ascii="標楷體" w:eastAsia="標楷體" w:hAnsi="標楷體" w:hint="eastAsia"/>
                <w:sz w:val="26"/>
                <w:szCs w:val="26"/>
              </w:rPr>
              <w:t>都市計劃學系石</w:t>
            </w:r>
            <w:r w:rsidR="0086183A" w:rsidRPr="004E751A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  <w:r w:rsidR="004E751A" w:rsidRPr="004E751A">
              <w:rPr>
                <w:rFonts w:ascii="標楷體" w:eastAsia="標楷體" w:hAnsi="標楷體" w:hint="eastAsia"/>
                <w:sz w:val="26"/>
                <w:szCs w:val="26"/>
              </w:rPr>
              <w:t>豐宇</w:t>
            </w:r>
          </w:p>
          <w:p w:rsidR="0001086C" w:rsidRDefault="00FD4182" w:rsidP="008618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4182">
              <w:rPr>
                <w:rFonts w:ascii="標楷體" w:eastAsia="標楷體" w:hAnsi="標楷體" w:hint="eastAsia"/>
                <w:sz w:val="26"/>
                <w:szCs w:val="26"/>
              </w:rPr>
              <w:t>樹德科技大學運籌管理學系黃</w:t>
            </w:r>
            <w:r w:rsidR="0086183A" w:rsidRPr="004E751A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  <w:r w:rsidRPr="00FD4182">
              <w:rPr>
                <w:rFonts w:ascii="標楷體" w:eastAsia="標楷體" w:hAnsi="標楷體" w:hint="eastAsia"/>
                <w:sz w:val="26"/>
                <w:szCs w:val="26"/>
              </w:rPr>
              <w:t>隆</w:t>
            </w:r>
            <w:proofErr w:type="gramStart"/>
            <w:r w:rsidRPr="00FD4182">
              <w:rPr>
                <w:rFonts w:ascii="標楷體" w:eastAsia="標楷體" w:hAnsi="標楷體" w:hint="eastAsia"/>
                <w:sz w:val="26"/>
                <w:szCs w:val="26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B7BF9" w:rsidRDefault="00BB7BF9" w:rsidP="0086183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國立中山大學社會科學院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張院長其祿教授</w:t>
            </w:r>
            <w:proofErr w:type="gramEnd"/>
          </w:p>
          <w:p w:rsidR="007D5F48" w:rsidRPr="0001086C" w:rsidRDefault="007D5F48" w:rsidP="0086183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86F27">
              <w:rPr>
                <w:rFonts w:ascii="標楷體" w:eastAsia="標楷體" w:hAnsi="標楷體" w:hint="eastAsia"/>
                <w:sz w:val="26"/>
                <w:szCs w:val="26"/>
              </w:rPr>
              <w:t>國立成功大學都市計畫學系</w:t>
            </w:r>
            <w:r w:rsidRPr="007D5F48">
              <w:rPr>
                <w:rFonts w:ascii="標楷體" w:eastAsia="標楷體" w:hAnsi="標楷體"/>
                <w:sz w:val="26"/>
                <w:szCs w:val="26"/>
              </w:rPr>
              <w:t>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  <w:bookmarkStart w:id="0" w:name="_GoBack"/>
            <w:bookmarkEnd w:id="0"/>
            <w:r w:rsidRPr="007D5F48">
              <w:rPr>
                <w:rFonts w:ascii="標楷體" w:eastAsia="標楷體" w:hAnsi="標楷體"/>
                <w:sz w:val="26"/>
                <w:szCs w:val="26"/>
              </w:rPr>
              <w:t>光毅</w:t>
            </w:r>
          </w:p>
        </w:tc>
      </w:tr>
      <w:tr w:rsidR="00BD14FB" w:rsidRPr="0001086C" w:rsidTr="007D396C">
        <w:tc>
          <w:tcPr>
            <w:tcW w:w="1555" w:type="dxa"/>
          </w:tcPr>
          <w:p w:rsidR="00BD14FB" w:rsidRDefault="00BD14FB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公聽會緣起及探討課題</w:t>
            </w: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公聽會緣起及探討課題</w:t>
            </w: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46CE1" w:rsidRPr="00292A9C" w:rsidRDefault="00846CE1" w:rsidP="00846C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公聽會緣起及探討課題</w:t>
            </w:r>
          </w:p>
        </w:tc>
        <w:tc>
          <w:tcPr>
            <w:tcW w:w="6741" w:type="dxa"/>
          </w:tcPr>
          <w:p w:rsidR="00BD14FB" w:rsidRPr="00FC675A" w:rsidRDefault="00BD14FB" w:rsidP="007D396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緣起:</w:t>
            </w:r>
          </w:p>
          <w:p w:rsidR="00BD14FB" w:rsidRPr="00FC675A" w:rsidRDefault="00BD14FB" w:rsidP="00BD14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高雄鐵路地下化是台鐵推動鐵路捷運化的一項，不但將重建高雄車站、左營車站及鳳山站外，還新增包括美術館、鼓山、三塊厝、民族、科工館、內惟、正義澄清通勤車站。</w:t>
            </w:r>
          </w:p>
          <w:p w:rsidR="00BD14FB" w:rsidRPr="00FC675A" w:rsidRDefault="00BD14FB" w:rsidP="00BD14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推動鐵路地下化主要原因，一般多指為了解決鐵路線路分割市區帶來交通瓶頸的問題，將原有鐵路的市區段從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地面改為架空或改建於地下的工程，或者新建鐵路線路時在市區段就直接架空或建於地下的工程。此處的鐵路大多是指服務於中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長程客流的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城際鐵路或通勤鐵路，而不是城市軌道交通系統中的地鐵或捷運。</w:t>
            </w:r>
          </w:p>
          <w:p w:rsidR="00973235" w:rsidRPr="00FC675A" w:rsidRDefault="00BD14FB" w:rsidP="00BD14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目前高雄鐵路地下的進度: 臨時軌道路基工程、九如路段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鐵隧道先期工程、高雄計畫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西段植栽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處理工程、行車調度無線電話系統工程、新左營站場電車線系統工程、高雄車站先期工程、高雄計畫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東段植栽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處理工程、新左營站場號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誌繼電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聯鎖設備增設工程、高雄車站段先期工程、新左營站場增設工程、新左營站場附屬營運設施新建工程、高雄車站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臨時軌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擋土壁工程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、高雄車站段臨時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軌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電車線改善及拆除工程、愛河段鐵路地下化（明挖覆蓋）工程等，皆已竣工。</w:t>
            </w:r>
          </w:p>
          <w:p w:rsidR="005F4AE9" w:rsidRPr="00FC675A" w:rsidRDefault="005F4AE9" w:rsidP="00BD14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65061">
              <w:rPr>
                <w:rFonts w:ascii="標楷體" w:eastAsia="標楷體" w:hAnsi="標楷體" w:hint="eastAsia"/>
                <w:sz w:val="26"/>
                <w:szCs w:val="26"/>
              </w:rPr>
              <w:t>面對後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年底(106)即將完工的鐵路地下化，</w:t>
            </w:r>
            <w:r w:rsidR="00973235" w:rsidRPr="00FC675A">
              <w:rPr>
                <w:rFonts w:ascii="標楷體" w:eastAsia="標楷體" w:hAnsi="標楷體" w:hint="eastAsia"/>
                <w:sz w:val="26"/>
                <w:szCs w:val="26"/>
              </w:rPr>
              <w:t>市府亦規劃了因地下化</w:t>
            </w:r>
            <w:r w:rsidR="00E251E3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後所騰空</w:t>
            </w:r>
            <w:proofErr w:type="gramStart"/>
            <w:r w:rsidR="00E251E3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之廊帶土地</w:t>
            </w:r>
            <w:proofErr w:type="gramEnd"/>
            <w:r w:rsidR="00973235" w:rsidRPr="00FC675A">
              <w:rPr>
                <w:rFonts w:ascii="標楷體" w:eastAsia="標楷體" w:hAnsi="標楷體" w:hint="eastAsia"/>
                <w:sz w:val="26"/>
                <w:szCs w:val="26"/>
              </w:rPr>
              <w:t>，例如，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原本在地上的軌道將改成長達15公里、寬100</w:t>
            </w:r>
            <w:r w:rsidR="00E251E3">
              <w:rPr>
                <w:rFonts w:ascii="標楷體" w:eastAsia="標楷體" w:hAnsi="標楷體" w:hint="eastAsia"/>
                <w:sz w:val="26"/>
                <w:szCs w:val="26"/>
              </w:rPr>
              <w:t>公尺的綠</w:t>
            </w:r>
            <w:r w:rsidR="00E251E3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園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道，使得原本</w:t>
            </w:r>
            <w:r w:rsidR="00E251E3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 w:rsidR="00E251E3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鐵路造成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南北切割的高雄，將藉此工程一次縫合，此舉不只讓高雄未來的宜居條件更加良好，也為高雄房產注入一股新活力。</w:t>
            </w:r>
          </w:p>
          <w:p w:rsidR="00973235" w:rsidRPr="00FC675A" w:rsidRDefault="00973235" w:rsidP="009732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雖然鐵路地下化後，</w:t>
            </w:r>
            <w:r w:rsidR="00905343" w:rsidRPr="00FC675A">
              <w:rPr>
                <w:rFonts w:ascii="標楷體" w:eastAsia="標楷體" w:hAnsi="標楷體" w:hint="eastAsia"/>
                <w:sz w:val="26"/>
                <w:szCs w:val="26"/>
              </w:rPr>
              <w:t>將為高雄帶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來附近土地價值增加</w:t>
            </w:r>
            <w:r w:rsidR="00905343" w:rsidRPr="00FC675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節省地面空間，令地面地皮可以作其他用途，以及</w:t>
            </w:r>
          </w:p>
          <w:p w:rsidR="00905343" w:rsidRPr="00FC675A" w:rsidRDefault="00973235" w:rsidP="00905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減少地面噪音，不受到強風及酷寒影響；減少因為鐵路與一般道路交錯，使用平交道若發生事故的傷亡等讓高雄邁向宜居城市之路</w:t>
            </w:r>
            <w:r w:rsidR="00905343" w:rsidRPr="00FC675A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諸多優點，但是這當中亦有許多問題必須探討，</w:t>
            </w:r>
            <w:r w:rsidR="00905343" w:rsidRPr="00FC675A">
              <w:rPr>
                <w:rFonts w:ascii="標楷體" w:eastAsia="標楷體" w:hAnsi="標楷體" w:hint="eastAsia"/>
                <w:sz w:val="26"/>
                <w:szCs w:val="26"/>
              </w:rPr>
              <w:t>包括台鐵不肯無償撥用空地給市府、</w:t>
            </w:r>
            <w:r w:rsidR="005F7E0E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騰空</w:t>
            </w:r>
            <w:r w:rsidR="00905343" w:rsidRPr="00FC675A">
              <w:rPr>
                <w:rFonts w:ascii="標楷體" w:eastAsia="標楷體" w:hAnsi="標楷體" w:hint="eastAsia"/>
                <w:sz w:val="26"/>
                <w:szCs w:val="26"/>
              </w:rPr>
              <w:t>土地之詳細規劃、附近地價、人文、消逝的鐵路文化等，皆是開通前後必須面臨的問題。</w:t>
            </w:r>
          </w:p>
          <w:p w:rsidR="007E4EEB" w:rsidRPr="00FC675A" w:rsidRDefault="00905343" w:rsidP="00905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    鐵路地下化是一個城市進步</w:t>
            </w:r>
            <w:r w:rsidR="00BE373E" w:rsidRPr="00FC675A">
              <w:rPr>
                <w:rFonts w:ascii="標楷體" w:eastAsia="標楷體" w:hAnsi="標楷體" w:hint="eastAsia"/>
                <w:sz w:val="26"/>
                <w:szCs w:val="26"/>
              </w:rPr>
              <w:t>與否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的指標之一，</w:t>
            </w:r>
            <w:r w:rsidR="007E4EEB" w:rsidRPr="00FC675A">
              <w:rPr>
                <w:rFonts w:ascii="標楷體" w:eastAsia="標楷體" w:hAnsi="標楷體" w:hint="eastAsia"/>
                <w:sz w:val="26"/>
                <w:szCs w:val="26"/>
              </w:rPr>
              <w:t>一旦完成通車，對高雄邁向宜居城市目標而言是一大里程碑。除此之外，</w:t>
            </w:r>
            <w:r w:rsidR="00BE373E" w:rsidRPr="00FC675A">
              <w:rPr>
                <w:rFonts w:ascii="標楷體" w:eastAsia="標楷體" w:hAnsi="標楷體" w:hint="eastAsia"/>
                <w:sz w:val="26"/>
                <w:szCs w:val="26"/>
              </w:rPr>
              <w:t>高雄市政府</w:t>
            </w:r>
            <w:r w:rsidR="005F7E0E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</w:t>
            </w:r>
            <w:r w:rsidR="000D4500" w:rsidRPr="00FC675A">
              <w:rPr>
                <w:rFonts w:ascii="標楷體" w:eastAsia="標楷體" w:hAnsi="標楷體" w:hint="eastAsia"/>
                <w:sz w:val="26"/>
                <w:szCs w:val="26"/>
              </w:rPr>
              <w:t>此次</w:t>
            </w:r>
            <w:r w:rsidR="00BE373E" w:rsidRPr="00FC675A">
              <w:rPr>
                <w:rFonts w:ascii="標楷體" w:eastAsia="標楷體" w:hAnsi="標楷體" w:hint="eastAsia"/>
                <w:sz w:val="26"/>
                <w:szCs w:val="26"/>
              </w:rPr>
              <w:t>地下化工程</w:t>
            </w:r>
            <w:r w:rsidR="000D4500" w:rsidRPr="00FC675A">
              <w:rPr>
                <w:rFonts w:ascii="標楷體" w:eastAsia="標楷體" w:hAnsi="標楷體" w:hint="eastAsia"/>
                <w:sz w:val="26"/>
                <w:szCs w:val="26"/>
              </w:rPr>
              <w:t>之過程與結果亦會成為其他五都的借鏡，</w:t>
            </w:r>
            <w:r w:rsidR="007E4EEB" w:rsidRPr="00FC675A">
              <w:rPr>
                <w:rFonts w:ascii="標楷體" w:eastAsia="標楷體" w:hAnsi="標楷體" w:hint="eastAsia"/>
                <w:sz w:val="26"/>
                <w:szCs w:val="26"/>
              </w:rPr>
              <w:t>因此，雖然即將通車，但高</w:t>
            </w:r>
            <w:r w:rsidR="005F7E0E">
              <w:rPr>
                <w:rFonts w:ascii="標楷體" w:eastAsia="標楷體" w:hAnsi="標楷體" w:hint="eastAsia"/>
                <w:sz w:val="26"/>
                <w:szCs w:val="26"/>
              </w:rPr>
              <w:t>雄</w:t>
            </w:r>
            <w:r w:rsidR="007E4EEB" w:rsidRPr="00FC675A">
              <w:rPr>
                <w:rFonts w:ascii="標楷體" w:eastAsia="標楷體" w:hAnsi="標楷體" w:hint="eastAsia"/>
                <w:sz w:val="26"/>
                <w:szCs w:val="26"/>
              </w:rPr>
              <w:t>市政府仍必須做好通車前的種種準備。</w:t>
            </w:r>
          </w:p>
          <w:p w:rsidR="007E4EEB" w:rsidRPr="00FC675A" w:rsidRDefault="007E4EEB" w:rsidP="0090534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05343" w:rsidRPr="00FC675A" w:rsidRDefault="00905343" w:rsidP="0090534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BD14FB" w:rsidRPr="00FC675A">
              <w:rPr>
                <w:rFonts w:ascii="標楷體" w:eastAsia="標楷體" w:hAnsi="標楷體" w:hint="eastAsia"/>
                <w:sz w:val="26"/>
                <w:szCs w:val="26"/>
              </w:rPr>
              <w:t xml:space="preserve">探討課題: </w:t>
            </w:r>
          </w:p>
          <w:p w:rsidR="00905343" w:rsidRDefault="00905343" w:rsidP="007E4EEB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土地撥用部分，台北當初同樣推行鐵路地下化，台鐵將</w:t>
            </w:r>
            <w:r w:rsidR="00E251E3">
              <w:rPr>
                <w:rFonts w:ascii="標楷體" w:eastAsia="標楷體" w:hAnsi="標楷體" w:hint="eastAsia"/>
                <w:sz w:val="26"/>
                <w:szCs w:val="26"/>
              </w:rPr>
              <w:t>騰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空出的土地無償撥用予台北市政府作為「市民大道」用地，但如今高雄欲進行同樣工程，台鐵卻要求高市政府必須向台鐵購地，此種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掣肘行徑，台鐵有必要再次說明。</w:t>
            </w:r>
          </w:p>
          <w:p w:rsidR="00E361C2" w:rsidRPr="00FC675A" w:rsidRDefault="00E361C2" w:rsidP="007E4EEB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原本鐵路行經地段之人文風景將受到影響，</w:t>
            </w:r>
            <w:r w:rsidR="00213B38">
              <w:rPr>
                <w:rFonts w:ascii="標楷體" w:eastAsia="標楷體" w:hAnsi="標楷體" w:hint="eastAsia"/>
                <w:sz w:val="26"/>
                <w:szCs w:val="26"/>
              </w:rPr>
              <w:t>例如滿清時期即存在的鳳山車站，在鐵路地下化後，面臨走入歷史之憂慮，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市府</w:t>
            </w:r>
            <w:r w:rsidR="00213B38">
              <w:rPr>
                <w:rFonts w:ascii="標楷體" w:eastAsia="標楷體" w:hAnsi="標楷體" w:hint="eastAsia"/>
                <w:sz w:val="26"/>
                <w:szCs w:val="26"/>
              </w:rPr>
              <w:t>在面對地下化後所留存的鐵路遺址，</w:t>
            </w:r>
            <w:r w:rsidR="007573D8">
              <w:rPr>
                <w:rFonts w:ascii="標楷體" w:eastAsia="標楷體" w:hAnsi="標楷體" w:hint="eastAsia"/>
                <w:sz w:val="26"/>
                <w:szCs w:val="26"/>
              </w:rPr>
              <w:t>在人文與觀光方面</w:t>
            </w:r>
            <w:r w:rsidR="00213B38">
              <w:rPr>
                <w:rFonts w:ascii="標楷體" w:eastAsia="標楷體" w:hAnsi="標楷體" w:hint="eastAsia"/>
                <w:sz w:val="26"/>
                <w:szCs w:val="26"/>
              </w:rPr>
              <w:t>有無完善的規劃?</w:t>
            </w:r>
          </w:p>
          <w:p w:rsidR="00BD14FB" w:rsidRDefault="00FC675A" w:rsidP="007E4EEB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地下化後，鐵路壽命該如何延長</w:t>
            </w:r>
            <w:r w:rsidR="005F7E0E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</w:t>
            </w:r>
            <w:r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維</w:t>
            </w:r>
            <w:r w:rsidR="005F7E0E"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? 由於高雄屬於濕熱的熱帶氣候，土壤濕度均高於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北部，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此現象勢必影響鐵軌壽命，</w:t>
            </w:r>
            <w:r w:rsidR="00E361C2">
              <w:rPr>
                <w:rFonts w:ascii="標楷體" w:eastAsia="標楷體" w:hAnsi="標楷體" w:hint="eastAsia"/>
                <w:sz w:val="26"/>
                <w:szCs w:val="26"/>
              </w:rPr>
              <w:t>尤其是愛河路段，此為市府往後必須面對的難題之</w:t>
            </w:r>
            <w:proofErr w:type="gramStart"/>
            <w:r w:rsidR="00E361C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E361C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2735A" w:rsidRPr="0032735A" w:rsidRDefault="0016671A" w:rsidP="0032735A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鐵路地下化後，舊有的高架橋以及地下道將進行拆除，包括自立陸橋、中華地下道、</w:t>
            </w:r>
            <w:r w:rsidR="004B7BCB">
              <w:rPr>
                <w:rFonts w:ascii="標楷體" w:eastAsia="標楷體" w:hAnsi="標楷體" w:hint="eastAsia"/>
                <w:sz w:val="26"/>
                <w:szCs w:val="26"/>
              </w:rPr>
              <w:t>中博高架橋、民族陸橋，</w:t>
            </w:r>
            <w:r w:rsidR="0032735A">
              <w:rPr>
                <w:rFonts w:ascii="標楷體" w:eastAsia="標楷體" w:hAnsi="標楷體" w:hint="eastAsia"/>
                <w:sz w:val="26"/>
                <w:szCs w:val="26"/>
              </w:rPr>
              <w:t>雖有提出預計的拆除時程，但隨著鐵路地下化即將完工，相關局處能否具體地擬訂和說明拆除、完工時程?</w:t>
            </w:r>
          </w:p>
          <w:p w:rsidR="0001086C" w:rsidRPr="00FC675A" w:rsidRDefault="00FE109F" w:rsidP="00AE430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地下化後所</w:t>
            </w:r>
            <w:r w:rsidRPr="009645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騰空</w:t>
            </w:r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土地之規劃部分，</w:t>
            </w:r>
            <w:r w:rsidR="00EC52F6">
              <w:rPr>
                <w:rFonts w:ascii="標楷體" w:eastAsia="標楷體" w:hAnsi="標楷體" w:hint="eastAsia"/>
                <w:sz w:val="26"/>
                <w:szCs w:val="26"/>
              </w:rPr>
              <w:t>除了上述提及的人文歷史維護外，</w:t>
            </w:r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將做何用途? 例如開展新商圈、</w:t>
            </w:r>
            <w:proofErr w:type="gramStart"/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畫</w:t>
            </w:r>
            <w:proofErr w:type="gramStart"/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文創產業廊帶</w:t>
            </w:r>
            <w:proofErr w:type="gramEnd"/>
            <w:r w:rsidR="0001086C">
              <w:rPr>
                <w:rFonts w:ascii="標楷體" w:eastAsia="標楷體" w:hAnsi="標楷體" w:hint="eastAsia"/>
                <w:sz w:val="26"/>
                <w:szCs w:val="26"/>
              </w:rPr>
              <w:t>、農村展售中心、社區學習與長青服務中心、停車用地或是都市農園等。</w:t>
            </w:r>
          </w:p>
        </w:tc>
      </w:tr>
      <w:tr w:rsidR="00BD14FB" w:rsidRPr="00292A9C" w:rsidTr="007D396C">
        <w:tc>
          <w:tcPr>
            <w:tcW w:w="1555" w:type="dxa"/>
          </w:tcPr>
          <w:p w:rsidR="00846CE1" w:rsidRDefault="00846CE1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進行程序</w:t>
            </w:r>
          </w:p>
        </w:tc>
        <w:tc>
          <w:tcPr>
            <w:tcW w:w="6741" w:type="dxa"/>
          </w:tcPr>
          <w:p w:rsidR="00BD14FB" w:rsidRPr="00FC675A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09：30－10：00  報到，領取資料</w:t>
            </w:r>
          </w:p>
          <w:p w:rsidR="00BD14FB" w:rsidRPr="00FC675A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10：00－10：10  公聽會主持人致詞</w:t>
            </w:r>
          </w:p>
          <w:p w:rsidR="00BD14FB" w:rsidRPr="00FC675A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10：10－10：40  各單位報告</w:t>
            </w:r>
          </w:p>
          <w:p w:rsidR="00DE65E8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10：40－11：50  與會貴賓發言及討論</w:t>
            </w:r>
            <w:proofErr w:type="gramStart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每人發言5至15</w:t>
            </w:r>
          </w:p>
          <w:p w:rsidR="00BD14FB" w:rsidRPr="00FC675A" w:rsidRDefault="00DE65E8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分鐘）</w:t>
            </w:r>
            <w:r w:rsidRPr="00FC675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BD14FB" w:rsidRPr="00FC675A" w:rsidRDefault="00BD14FB" w:rsidP="007D396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C675A">
              <w:rPr>
                <w:rFonts w:ascii="標楷體" w:eastAsia="標楷體" w:hAnsi="標楷體" w:hint="eastAsia"/>
                <w:sz w:val="26"/>
                <w:szCs w:val="26"/>
              </w:rPr>
              <w:t>11：50－12：00  主持人結論</w:t>
            </w:r>
          </w:p>
        </w:tc>
      </w:tr>
      <w:tr w:rsidR="00BD14FB" w:rsidRPr="00292A9C" w:rsidTr="007D396C">
        <w:tc>
          <w:tcPr>
            <w:tcW w:w="1555" w:type="dxa"/>
          </w:tcPr>
          <w:p w:rsidR="00BD14FB" w:rsidRPr="00292A9C" w:rsidRDefault="00BD14FB" w:rsidP="007D39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2A9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41" w:type="dxa"/>
          </w:tcPr>
          <w:p w:rsidR="00BD14FB" w:rsidRPr="004A3B45" w:rsidRDefault="00BD14FB" w:rsidP="007D39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出、列席人員請 貴機關准予公假(差)登記</w:t>
            </w:r>
          </w:p>
          <w:p w:rsidR="00BD14FB" w:rsidRPr="004A3B45" w:rsidRDefault="00BD14FB" w:rsidP="007D39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A3B45">
              <w:rPr>
                <w:rFonts w:ascii="標楷體" w:eastAsia="標楷體" w:hAnsi="標楷體" w:hint="eastAsia"/>
                <w:sz w:val="26"/>
                <w:szCs w:val="26"/>
              </w:rPr>
              <w:t>受邀單位請派員參加</w:t>
            </w:r>
          </w:p>
        </w:tc>
      </w:tr>
    </w:tbl>
    <w:p w:rsidR="0097462F" w:rsidRDefault="0097462F"/>
    <w:sectPr w:rsidR="00974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D1" w:rsidRDefault="007141D1" w:rsidP="00BD14FB">
      <w:r>
        <w:separator/>
      </w:r>
    </w:p>
  </w:endnote>
  <w:endnote w:type="continuationSeparator" w:id="0">
    <w:p w:rsidR="007141D1" w:rsidRDefault="007141D1" w:rsidP="00BD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D1" w:rsidRDefault="007141D1" w:rsidP="00BD14FB">
      <w:r>
        <w:separator/>
      </w:r>
    </w:p>
  </w:footnote>
  <w:footnote w:type="continuationSeparator" w:id="0">
    <w:p w:rsidR="007141D1" w:rsidRDefault="007141D1" w:rsidP="00BD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EE5"/>
    <w:multiLevelType w:val="hybridMultilevel"/>
    <w:tmpl w:val="86F85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84A39"/>
    <w:multiLevelType w:val="hybridMultilevel"/>
    <w:tmpl w:val="755E0434"/>
    <w:lvl w:ilvl="0" w:tplc="5A88824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6DB03B42"/>
    <w:multiLevelType w:val="hybridMultilevel"/>
    <w:tmpl w:val="DA2EA8A2"/>
    <w:lvl w:ilvl="0" w:tplc="E41CAD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8B8D5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7"/>
    <w:rsid w:val="00001901"/>
    <w:rsid w:val="0001086C"/>
    <w:rsid w:val="000711D8"/>
    <w:rsid w:val="000B6378"/>
    <w:rsid w:val="000D4500"/>
    <w:rsid w:val="001021BD"/>
    <w:rsid w:val="001422EE"/>
    <w:rsid w:val="0016671A"/>
    <w:rsid w:val="001669D6"/>
    <w:rsid w:val="001B0574"/>
    <w:rsid w:val="001B5605"/>
    <w:rsid w:val="00213B38"/>
    <w:rsid w:val="0022507D"/>
    <w:rsid w:val="00271CD0"/>
    <w:rsid w:val="0027663D"/>
    <w:rsid w:val="002D4E74"/>
    <w:rsid w:val="002E4CF8"/>
    <w:rsid w:val="0032735A"/>
    <w:rsid w:val="00432EC7"/>
    <w:rsid w:val="0043758F"/>
    <w:rsid w:val="004929F0"/>
    <w:rsid w:val="004B7BCB"/>
    <w:rsid w:val="004E751A"/>
    <w:rsid w:val="004F16FB"/>
    <w:rsid w:val="005F4AE9"/>
    <w:rsid w:val="005F7E0E"/>
    <w:rsid w:val="00606E6E"/>
    <w:rsid w:val="00646C26"/>
    <w:rsid w:val="006A024C"/>
    <w:rsid w:val="0070146B"/>
    <w:rsid w:val="00713D5F"/>
    <w:rsid w:val="007141D1"/>
    <w:rsid w:val="00731D86"/>
    <w:rsid w:val="00751D23"/>
    <w:rsid w:val="00754130"/>
    <w:rsid w:val="007573D8"/>
    <w:rsid w:val="007D071F"/>
    <w:rsid w:val="007D1746"/>
    <w:rsid w:val="007D5F48"/>
    <w:rsid w:val="007E4EEB"/>
    <w:rsid w:val="00825F36"/>
    <w:rsid w:val="00846CE1"/>
    <w:rsid w:val="0086183A"/>
    <w:rsid w:val="008E1514"/>
    <w:rsid w:val="008F46F2"/>
    <w:rsid w:val="00905343"/>
    <w:rsid w:val="009645AE"/>
    <w:rsid w:val="00973235"/>
    <w:rsid w:val="0097462F"/>
    <w:rsid w:val="00986F27"/>
    <w:rsid w:val="0099551A"/>
    <w:rsid w:val="009B3C6A"/>
    <w:rsid w:val="009F7DC1"/>
    <w:rsid w:val="00A56576"/>
    <w:rsid w:val="00AA6CAD"/>
    <w:rsid w:val="00AD764E"/>
    <w:rsid w:val="00AE4303"/>
    <w:rsid w:val="00B41717"/>
    <w:rsid w:val="00B65061"/>
    <w:rsid w:val="00B81424"/>
    <w:rsid w:val="00BB0705"/>
    <w:rsid w:val="00BB7BF9"/>
    <w:rsid w:val="00BC7C3B"/>
    <w:rsid w:val="00BD14FB"/>
    <w:rsid w:val="00BE373E"/>
    <w:rsid w:val="00BF185C"/>
    <w:rsid w:val="00CA1E68"/>
    <w:rsid w:val="00CA3AF1"/>
    <w:rsid w:val="00D11171"/>
    <w:rsid w:val="00D26C60"/>
    <w:rsid w:val="00D32744"/>
    <w:rsid w:val="00DE65E8"/>
    <w:rsid w:val="00E251E3"/>
    <w:rsid w:val="00E361C2"/>
    <w:rsid w:val="00E56A5F"/>
    <w:rsid w:val="00E917B0"/>
    <w:rsid w:val="00EC52F6"/>
    <w:rsid w:val="00EE5CF7"/>
    <w:rsid w:val="00FC675A"/>
    <w:rsid w:val="00FD4182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D14FB"/>
    <w:rPr>
      <w:kern w:val="2"/>
    </w:rPr>
  </w:style>
  <w:style w:type="paragraph" w:styleId="a5">
    <w:name w:val="footer"/>
    <w:basedOn w:val="a"/>
    <w:link w:val="a6"/>
    <w:rsid w:val="00BD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D14FB"/>
    <w:rPr>
      <w:kern w:val="2"/>
    </w:rPr>
  </w:style>
  <w:style w:type="table" w:styleId="a7">
    <w:name w:val="Table Grid"/>
    <w:basedOn w:val="a1"/>
    <w:rsid w:val="00BD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14F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14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1422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D14FB"/>
    <w:rPr>
      <w:kern w:val="2"/>
    </w:rPr>
  </w:style>
  <w:style w:type="paragraph" w:styleId="a5">
    <w:name w:val="footer"/>
    <w:basedOn w:val="a"/>
    <w:link w:val="a6"/>
    <w:rsid w:val="00BD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D14FB"/>
    <w:rPr>
      <w:kern w:val="2"/>
    </w:rPr>
  </w:style>
  <w:style w:type="table" w:styleId="a7">
    <w:name w:val="Table Grid"/>
    <w:basedOn w:val="a1"/>
    <w:rsid w:val="00BD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14FB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142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1422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吳春英</cp:lastModifiedBy>
  <cp:revision>12</cp:revision>
  <cp:lastPrinted>2015-11-23T06:33:00Z</cp:lastPrinted>
  <dcterms:created xsi:type="dcterms:W3CDTF">2015-11-23T00:23:00Z</dcterms:created>
  <dcterms:modified xsi:type="dcterms:W3CDTF">2015-11-27T07:56:00Z</dcterms:modified>
</cp:coreProperties>
</file>